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rPr>
          <w:color w:val="auto"/>
        </w:rPr>
      </w:pPr>
      <w:bookmarkStart w:id="73" w:name="_GoBack"/>
      <w:bookmarkEnd w:id="73"/>
    </w:p>
    <w:p>
      <w:pPr>
        <w:pStyle w:val="2"/>
        <w:widowControl/>
        <w:rPr>
          <w:color w:val="auto"/>
        </w:rPr>
      </w:pPr>
    </w:p>
    <w:p>
      <w:pPr>
        <w:pStyle w:val="2"/>
        <w:widowControl/>
        <w:rPr>
          <w:color w:val="auto"/>
        </w:rPr>
      </w:pPr>
    </w:p>
    <w:p>
      <w:pPr>
        <w:pStyle w:val="2"/>
        <w:widowControl/>
        <w:rPr>
          <w:color w:val="auto"/>
        </w:rPr>
      </w:pPr>
    </w:p>
    <w:p>
      <w:pPr>
        <w:widowControl/>
        <w:jc w:val="center"/>
        <w:rPr>
          <w:rFonts w:ascii="Times New Roman" w:hAnsi="Times New Roman" w:eastAsia="方正小标宋简体" w:cs="方正小标宋简体"/>
          <w:color w:val="auto"/>
          <w:sz w:val="52"/>
          <w:szCs w:val="52"/>
        </w:rPr>
      </w:pPr>
      <w:r>
        <w:rPr>
          <w:rFonts w:hint="eastAsia" w:ascii="Times New Roman" w:hAnsi="Times New Roman" w:eastAsia="方正小标宋简体" w:cs="方正小标宋简体"/>
          <w:color w:val="auto"/>
          <w:sz w:val="52"/>
          <w:szCs w:val="52"/>
        </w:rPr>
        <w:t>丽水市知识产权发展“十四五”规划</w:t>
      </w:r>
    </w:p>
    <w:p>
      <w:pPr>
        <w:pStyle w:val="2"/>
        <w:widowControl/>
        <w:jc w:val="center"/>
        <w:rPr>
          <w:rFonts w:eastAsia="方正小标宋简体" w:cs="方正小标宋简体"/>
          <w:color w:val="auto"/>
          <w:sz w:val="44"/>
          <w:szCs w:val="44"/>
        </w:rPr>
      </w:pPr>
      <w:r>
        <w:rPr>
          <w:rFonts w:hint="eastAsia" w:eastAsia="方正小标宋简体" w:cs="方正小标宋简体"/>
          <w:color w:val="auto"/>
          <w:sz w:val="52"/>
          <w:szCs w:val="52"/>
        </w:rPr>
        <w:t>（2021—2025）</w:t>
      </w:r>
    </w:p>
    <w:p>
      <w:pPr>
        <w:pStyle w:val="2"/>
        <w:widowControl/>
        <w:jc w:val="center"/>
        <w:rPr>
          <w:b/>
          <w:bCs/>
          <w:color w:val="auto"/>
          <w:sz w:val="36"/>
          <w:szCs w:val="36"/>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pStyle w:val="2"/>
        <w:widowControl/>
        <w:rPr>
          <w:color w:val="auto"/>
        </w:rPr>
      </w:pPr>
    </w:p>
    <w:p>
      <w:pPr>
        <w:widowControl/>
        <w:jc w:val="center"/>
        <w:rPr>
          <w:rFonts w:ascii="Times New Roman" w:hAnsi="Times New Roman" w:eastAsia="楷体" w:cs="楷体"/>
          <w:color w:val="auto"/>
          <w:sz w:val="32"/>
          <w:szCs w:val="32"/>
        </w:rPr>
      </w:pPr>
      <w:r>
        <w:rPr>
          <w:rFonts w:hint="eastAsia" w:ascii="Times New Roman" w:hAnsi="Times New Roman" w:eastAsia="楷体" w:cs="楷体"/>
          <w:color w:val="auto"/>
          <w:sz w:val="32"/>
          <w:szCs w:val="32"/>
        </w:rPr>
        <w:t>丽水市市场监督管理局</w:t>
      </w:r>
    </w:p>
    <w:p>
      <w:pPr>
        <w:widowControl/>
        <w:jc w:val="center"/>
        <w:rPr>
          <w:rFonts w:hint="default" w:ascii="Times New Roman" w:hAnsi="Times New Roman" w:eastAsia="楷体" w:cs="楷体"/>
          <w:color w:val="auto"/>
          <w:sz w:val="32"/>
          <w:szCs w:val="32"/>
          <w:lang w:val="en-US" w:eastAsia="zh-CN"/>
        </w:rPr>
      </w:pPr>
      <w:r>
        <w:rPr>
          <w:rFonts w:hint="eastAsia" w:ascii="Times New Roman" w:hAnsi="Times New Roman" w:eastAsia="楷体" w:cs="楷体"/>
          <w:color w:val="auto"/>
          <w:sz w:val="32"/>
          <w:szCs w:val="32"/>
        </w:rPr>
        <w:t>2021年</w:t>
      </w:r>
      <w:r>
        <w:rPr>
          <w:rFonts w:hint="eastAsia" w:ascii="Times New Roman" w:hAnsi="Times New Roman" w:eastAsia="楷体" w:cs="楷体"/>
          <w:color w:val="auto"/>
          <w:sz w:val="32"/>
          <w:szCs w:val="32"/>
          <w:lang w:val="en-US" w:eastAsia="zh-CN"/>
        </w:rPr>
        <w:t>12月</w:t>
      </w:r>
    </w:p>
    <w:p>
      <w:pPr>
        <w:pStyle w:val="2"/>
        <w:rPr>
          <w:rFonts w:ascii="Times New Roman" w:hAnsi="Times New Roman" w:eastAsia="楷体" w:cs="楷体"/>
          <w:color w:val="auto"/>
          <w:sz w:val="32"/>
          <w:szCs w:val="32"/>
        </w:rPr>
      </w:pPr>
    </w:p>
    <w:p>
      <w:pPr>
        <w:pStyle w:val="2"/>
        <w:rPr>
          <w:rFonts w:hint="default" w:ascii="Times New Roman" w:hAnsi="Times New Roman" w:eastAsia="楷体" w:cs="楷体"/>
          <w:color w:val="auto"/>
          <w:sz w:val="32"/>
          <w:szCs w:val="32"/>
        </w:rPr>
      </w:pPr>
    </w:p>
    <w:sdt>
      <w:sdtPr>
        <w:rPr>
          <w:rFonts w:hint="eastAsia" w:ascii="Times New Roman" w:hAnsi="Times New Roman" w:eastAsia="黑体" w:cs="黑体"/>
          <w:color w:val="auto"/>
          <w:sz w:val="44"/>
          <w:szCs w:val="44"/>
          <w:lang w:val="zh-CN"/>
        </w:rPr>
        <w:id w:val="1342890172"/>
      </w:sdtPr>
      <w:sdtEndPr>
        <w:rPr>
          <w:rFonts w:hint="eastAsia" w:ascii="Times New Roman" w:hAnsi="Times New Roman" w:eastAsia="黑体" w:cs="黑体"/>
          <w:color w:val="auto"/>
          <w:sz w:val="36"/>
          <w:szCs w:val="36"/>
          <w:lang w:val="zh-CN"/>
        </w:rPr>
      </w:sdtEndPr>
      <w:sdtContent>
        <w:p>
          <w:pPr>
            <w:widowControl/>
            <w:spacing w:line="580" w:lineRule="exact"/>
            <w:jc w:val="center"/>
            <w:rPr>
              <w:rFonts w:ascii="Times New Roman" w:hAnsi="Times New Roman" w:eastAsia="黑体" w:cs="黑体"/>
              <w:color w:val="auto"/>
              <w:sz w:val="44"/>
              <w:szCs w:val="44"/>
            </w:rPr>
          </w:pPr>
          <w:r>
            <w:rPr>
              <w:rFonts w:hint="eastAsia" w:ascii="Times New Roman" w:hAnsi="Times New Roman" w:eastAsia="黑体" w:cs="黑体"/>
              <w:color w:val="auto"/>
              <w:sz w:val="44"/>
              <w:szCs w:val="44"/>
              <w:lang w:val="zh-CN"/>
            </w:rPr>
            <w:t>目</w:t>
          </w:r>
          <w:r>
            <w:rPr>
              <w:rFonts w:hint="eastAsia" w:ascii="Times New Roman" w:hAnsi="Times New Roman" w:eastAsia="黑体" w:cs="黑体"/>
              <w:color w:val="auto"/>
              <w:sz w:val="44"/>
              <w:szCs w:val="44"/>
              <w:lang w:val="en-US" w:eastAsia="zh-CN"/>
            </w:rPr>
            <w:t xml:space="preserve"> </w:t>
          </w:r>
          <w:r>
            <w:rPr>
              <w:rFonts w:hint="eastAsia" w:ascii="Times New Roman" w:hAnsi="Times New Roman" w:eastAsia="黑体" w:cs="黑体"/>
              <w:color w:val="auto"/>
              <w:sz w:val="44"/>
              <w:szCs w:val="44"/>
            </w:rPr>
            <w:t>录</w:t>
          </w:r>
        </w:p>
        <w:p>
          <w:pPr>
            <w:widowControl/>
            <w:spacing w:line="580" w:lineRule="exact"/>
            <w:jc w:val="center"/>
            <w:rPr>
              <w:rFonts w:ascii="Times New Roman" w:hAnsi="Times New Roman" w:eastAsia="黑体" w:cs="黑体"/>
              <w:color w:val="auto"/>
              <w:sz w:val="44"/>
              <w:szCs w:val="44"/>
            </w:rPr>
          </w:pPr>
        </w:p>
        <w:p>
          <w:pPr>
            <w:pStyle w:val="9"/>
            <w:tabs>
              <w:tab w:val="right" w:leader="dot" w:pos="8296"/>
            </w:tabs>
            <w:rPr>
              <w:color w:val="auto"/>
              <w:sz w:val="24"/>
              <w:szCs w:val="28"/>
            </w:rPr>
          </w:pPr>
          <w:r>
            <w:rPr>
              <w:rFonts w:ascii="Times New Roman" w:hAnsi="Times New Roman"/>
              <w:color w:val="auto"/>
              <w:sz w:val="24"/>
              <w:szCs w:val="28"/>
            </w:rPr>
            <w:fldChar w:fldCharType="begin"/>
          </w:r>
          <w:r>
            <w:rPr>
              <w:rFonts w:ascii="Times New Roman" w:hAnsi="Times New Roman"/>
              <w:color w:val="auto"/>
              <w:sz w:val="24"/>
              <w:szCs w:val="28"/>
            </w:rPr>
            <w:instrText xml:space="preserve"> TOC \o "1-3" \h \z \u </w:instrText>
          </w:r>
          <w:r>
            <w:rPr>
              <w:rFonts w:ascii="Times New Roman" w:hAnsi="Times New Roman"/>
              <w:color w:val="auto"/>
              <w:sz w:val="24"/>
              <w:szCs w:val="28"/>
            </w:rPr>
            <w:fldChar w:fldCharType="separate"/>
          </w:r>
          <w:r>
            <w:rPr>
              <w:color w:val="auto"/>
              <w:sz w:val="24"/>
              <w:szCs w:val="28"/>
            </w:rPr>
            <w:fldChar w:fldCharType="begin"/>
          </w:r>
          <w:r>
            <w:rPr>
              <w:color w:val="auto"/>
              <w:sz w:val="24"/>
              <w:szCs w:val="28"/>
            </w:rPr>
            <w:instrText xml:space="preserve"> HYPERLINK \l "_Toc80863145" </w:instrText>
          </w:r>
          <w:r>
            <w:rPr>
              <w:color w:val="auto"/>
              <w:sz w:val="24"/>
              <w:szCs w:val="28"/>
            </w:rPr>
            <w:fldChar w:fldCharType="separate"/>
          </w:r>
          <w:r>
            <w:rPr>
              <w:rStyle w:val="15"/>
              <w:rFonts w:ascii="Times New Roman" w:hAnsi="Times New Roman" w:eastAsia="黑体"/>
              <w:color w:val="auto"/>
              <w:sz w:val="24"/>
              <w:szCs w:val="28"/>
            </w:rPr>
            <w:t>一、坚定“绿水青山就是金山银山”发展道路，奋力打造“高水平建设和高质量发展重要窗口”，开启高水平知识产权示范市建设新征程</w:t>
          </w:r>
          <w:r>
            <w:rPr>
              <w:color w:val="auto"/>
              <w:sz w:val="24"/>
              <w:szCs w:val="28"/>
            </w:rPr>
            <w:tab/>
          </w:r>
          <w:r>
            <w:rPr>
              <w:color w:val="auto"/>
              <w:sz w:val="24"/>
              <w:szCs w:val="28"/>
            </w:rPr>
            <w:fldChar w:fldCharType="begin"/>
          </w:r>
          <w:r>
            <w:rPr>
              <w:color w:val="auto"/>
              <w:sz w:val="24"/>
              <w:szCs w:val="28"/>
            </w:rPr>
            <w:instrText xml:space="preserve"> PAGEREF _Toc80863145 \h </w:instrText>
          </w:r>
          <w:r>
            <w:rPr>
              <w:color w:val="auto"/>
              <w:sz w:val="24"/>
              <w:szCs w:val="28"/>
            </w:rPr>
            <w:fldChar w:fldCharType="separate"/>
          </w:r>
          <w:r>
            <w:rPr>
              <w:color w:val="auto"/>
              <w:sz w:val="24"/>
              <w:szCs w:val="28"/>
            </w:rPr>
            <w:t>1</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"_Toc80863146" </w:instrText>
          </w:r>
          <w:r>
            <w:rPr>
              <w:color w:val="auto"/>
              <w:sz w:val="24"/>
              <w:szCs w:val="28"/>
            </w:rPr>
            <w:fldChar w:fldCharType="separate"/>
          </w:r>
          <w:r>
            <w:rPr>
              <w:rStyle w:val="15"/>
              <w:rFonts w:ascii="Times New Roman" w:hAnsi="Times New Roman" w:eastAsia="楷体"/>
              <w:color w:val="auto"/>
              <w:sz w:val="24"/>
              <w:szCs w:val="28"/>
            </w:rPr>
            <w:t>（一）“十三五”时期知识产权事业取得显著成效</w:t>
          </w:r>
          <w:r>
            <w:rPr>
              <w:color w:val="auto"/>
              <w:sz w:val="24"/>
              <w:szCs w:val="28"/>
            </w:rPr>
            <w:tab/>
          </w:r>
          <w:r>
            <w:rPr>
              <w:color w:val="auto"/>
              <w:sz w:val="24"/>
              <w:szCs w:val="28"/>
            </w:rPr>
            <w:fldChar w:fldCharType="begin"/>
          </w:r>
          <w:r>
            <w:rPr>
              <w:color w:val="auto"/>
              <w:sz w:val="24"/>
              <w:szCs w:val="28"/>
            </w:rPr>
            <w:instrText xml:space="preserve"> PAGEREF _Toc80863146 \h </w:instrText>
          </w:r>
          <w:r>
            <w:rPr>
              <w:color w:val="auto"/>
              <w:sz w:val="24"/>
              <w:szCs w:val="28"/>
            </w:rPr>
            <w:fldChar w:fldCharType="separate"/>
          </w:r>
          <w:r>
            <w:rPr>
              <w:color w:val="auto"/>
              <w:sz w:val="24"/>
              <w:szCs w:val="28"/>
            </w:rPr>
            <w:t>1</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"_Toc80863147" </w:instrText>
          </w:r>
          <w:r>
            <w:rPr>
              <w:color w:val="auto"/>
              <w:sz w:val="24"/>
              <w:szCs w:val="28"/>
            </w:rPr>
            <w:fldChar w:fldCharType="separate"/>
          </w:r>
          <w:r>
            <w:rPr>
              <w:rStyle w:val="15"/>
              <w:rFonts w:ascii="Times New Roman" w:hAnsi="Times New Roman" w:eastAsia="楷体"/>
              <w:color w:val="auto"/>
              <w:sz w:val="24"/>
              <w:szCs w:val="28"/>
            </w:rPr>
            <w:t>（二）“十四五”时期知识产权发展面临新挑战新机遇</w:t>
          </w:r>
          <w:r>
            <w:rPr>
              <w:color w:val="auto"/>
              <w:sz w:val="24"/>
              <w:szCs w:val="28"/>
            </w:rPr>
            <w:tab/>
          </w:r>
          <w:r>
            <w:rPr>
              <w:color w:val="auto"/>
              <w:sz w:val="24"/>
              <w:szCs w:val="28"/>
            </w:rPr>
            <w:fldChar w:fldCharType="begin"/>
          </w:r>
          <w:r>
            <w:rPr>
              <w:color w:val="auto"/>
              <w:sz w:val="24"/>
              <w:szCs w:val="28"/>
            </w:rPr>
            <w:instrText xml:space="preserve"> PAGEREF _Toc80863147 \h </w:instrText>
          </w:r>
          <w:r>
            <w:rPr>
              <w:color w:val="auto"/>
              <w:sz w:val="24"/>
              <w:szCs w:val="28"/>
            </w:rPr>
            <w:fldChar w:fldCharType="separate"/>
          </w:r>
          <w:r>
            <w:rPr>
              <w:color w:val="auto"/>
              <w:sz w:val="24"/>
              <w:szCs w:val="28"/>
            </w:rPr>
            <w:t>5</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"_Toc80863148" </w:instrText>
          </w:r>
          <w:r>
            <w:rPr>
              <w:color w:val="auto"/>
              <w:sz w:val="24"/>
              <w:szCs w:val="28"/>
            </w:rPr>
            <w:fldChar w:fldCharType="separate"/>
          </w:r>
          <w:r>
            <w:rPr>
              <w:rStyle w:val="15"/>
              <w:rFonts w:ascii="Times New Roman" w:hAnsi="Times New Roman" w:eastAsia="楷体"/>
              <w:color w:val="auto"/>
              <w:sz w:val="24"/>
              <w:szCs w:val="28"/>
            </w:rPr>
            <w:t>（三）“十四五”时期知识产权工作总体思路和发展目标</w:t>
          </w:r>
          <w:r>
            <w:rPr>
              <w:color w:val="auto"/>
              <w:sz w:val="24"/>
              <w:szCs w:val="28"/>
            </w:rPr>
            <w:tab/>
          </w:r>
          <w:r>
            <w:rPr>
              <w:color w:val="auto"/>
              <w:sz w:val="24"/>
              <w:szCs w:val="28"/>
            </w:rPr>
            <w:fldChar w:fldCharType="begin"/>
          </w:r>
          <w:r>
            <w:rPr>
              <w:color w:val="auto"/>
              <w:sz w:val="24"/>
              <w:szCs w:val="28"/>
            </w:rPr>
            <w:instrText xml:space="preserve"> PAGEREF _Toc80863148 \h </w:instrText>
          </w:r>
          <w:r>
            <w:rPr>
              <w:color w:val="auto"/>
              <w:sz w:val="24"/>
              <w:szCs w:val="28"/>
            </w:rPr>
            <w:fldChar w:fldCharType="separate"/>
          </w:r>
          <w:r>
            <w:rPr>
              <w:color w:val="auto"/>
              <w:sz w:val="24"/>
              <w:szCs w:val="28"/>
            </w:rPr>
            <w:t>7</w:t>
          </w:r>
          <w:r>
            <w:rPr>
              <w:color w:val="auto"/>
              <w:sz w:val="24"/>
              <w:szCs w:val="28"/>
            </w:rPr>
            <w:fldChar w:fldCharType="end"/>
          </w:r>
          <w:r>
            <w:rPr>
              <w:color w:val="auto"/>
              <w:sz w:val="24"/>
              <w:szCs w:val="28"/>
            </w:rPr>
            <w:fldChar w:fldCharType="end"/>
          </w:r>
        </w:p>
        <w:p>
          <w:pPr>
            <w:pStyle w:val="9"/>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"_Toc80863149" </w:instrText>
          </w:r>
          <w:r>
            <w:rPr>
              <w:color w:val="auto"/>
              <w:sz w:val="24"/>
              <w:szCs w:val="28"/>
            </w:rPr>
            <w:fldChar w:fldCharType="separate"/>
          </w:r>
          <w:r>
            <w:rPr>
              <w:rStyle w:val="15"/>
              <w:rFonts w:ascii="Times New Roman" w:hAnsi="Times New Roman" w:eastAsia="黑体"/>
              <w:color w:val="auto"/>
              <w:sz w:val="24"/>
              <w:szCs w:val="28"/>
            </w:rPr>
            <w:t>二、改革创新，构建知识产权治理新体系</w:t>
          </w:r>
          <w:r>
            <w:rPr>
              <w:color w:val="auto"/>
              <w:sz w:val="24"/>
              <w:szCs w:val="28"/>
            </w:rPr>
            <w:tab/>
          </w:r>
          <w:r>
            <w:rPr>
              <w:color w:val="auto"/>
              <w:sz w:val="24"/>
              <w:szCs w:val="28"/>
            </w:rPr>
            <w:fldChar w:fldCharType="begin"/>
          </w:r>
          <w:r>
            <w:rPr>
              <w:color w:val="auto"/>
              <w:sz w:val="24"/>
              <w:szCs w:val="28"/>
            </w:rPr>
            <w:instrText xml:space="preserve"> PAGEREF _Toc80863149 \h </w:instrText>
          </w:r>
          <w:r>
            <w:rPr>
              <w:color w:val="auto"/>
              <w:sz w:val="24"/>
              <w:szCs w:val="28"/>
            </w:rPr>
            <w:fldChar w:fldCharType="separate"/>
          </w:r>
          <w:r>
            <w:rPr>
              <w:color w:val="auto"/>
              <w:sz w:val="24"/>
              <w:szCs w:val="28"/>
            </w:rPr>
            <w:t>11</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"_Toc80863150" </w:instrText>
          </w:r>
          <w:r>
            <w:rPr>
              <w:color w:val="auto"/>
              <w:sz w:val="24"/>
              <w:szCs w:val="28"/>
            </w:rPr>
            <w:fldChar w:fldCharType="separate"/>
          </w:r>
          <w:r>
            <w:rPr>
              <w:rStyle w:val="15"/>
              <w:rFonts w:ascii="Times New Roman" w:hAnsi="Times New Roman" w:eastAsia="楷体"/>
              <w:color w:val="auto"/>
              <w:sz w:val="24"/>
              <w:szCs w:val="28"/>
            </w:rPr>
            <w:t>（一）深入推进知识产权体制机制改革</w:t>
          </w:r>
          <w:r>
            <w:rPr>
              <w:color w:val="auto"/>
              <w:sz w:val="24"/>
              <w:szCs w:val="28"/>
            </w:rPr>
            <w:tab/>
          </w:r>
          <w:r>
            <w:rPr>
              <w:color w:val="auto"/>
              <w:sz w:val="24"/>
              <w:szCs w:val="28"/>
            </w:rPr>
            <w:fldChar w:fldCharType="begin"/>
          </w:r>
          <w:r>
            <w:rPr>
              <w:color w:val="auto"/>
              <w:sz w:val="24"/>
              <w:szCs w:val="28"/>
            </w:rPr>
            <w:instrText xml:space="preserve"> PAGEREF _Toc80863150 \h </w:instrText>
          </w:r>
          <w:r>
            <w:rPr>
              <w:color w:val="auto"/>
              <w:sz w:val="24"/>
              <w:szCs w:val="28"/>
            </w:rPr>
            <w:fldChar w:fldCharType="separate"/>
          </w:r>
          <w:r>
            <w:rPr>
              <w:color w:val="auto"/>
              <w:sz w:val="24"/>
              <w:szCs w:val="28"/>
            </w:rPr>
            <w:t>11</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"_Toc80863151" </w:instrText>
          </w:r>
          <w:r>
            <w:rPr>
              <w:color w:val="auto"/>
              <w:sz w:val="24"/>
              <w:szCs w:val="28"/>
            </w:rPr>
            <w:fldChar w:fldCharType="separate"/>
          </w:r>
          <w:r>
            <w:rPr>
              <w:rStyle w:val="15"/>
              <w:rFonts w:ascii="Times New Roman" w:hAnsi="Times New Roman" w:eastAsia="楷体"/>
              <w:color w:val="auto"/>
              <w:sz w:val="24"/>
              <w:szCs w:val="28"/>
            </w:rPr>
            <w:t>（二）完善知识产权政策法规体系</w:t>
          </w:r>
          <w:r>
            <w:rPr>
              <w:color w:val="auto"/>
              <w:sz w:val="24"/>
              <w:szCs w:val="28"/>
            </w:rPr>
            <w:tab/>
          </w:r>
          <w:r>
            <w:rPr>
              <w:color w:val="auto"/>
              <w:sz w:val="24"/>
              <w:szCs w:val="28"/>
            </w:rPr>
            <w:fldChar w:fldCharType="begin"/>
          </w:r>
          <w:r>
            <w:rPr>
              <w:color w:val="auto"/>
              <w:sz w:val="24"/>
              <w:szCs w:val="28"/>
            </w:rPr>
            <w:instrText xml:space="preserve"> PAGEREF _Toc80863151 \h </w:instrText>
          </w:r>
          <w:r>
            <w:rPr>
              <w:color w:val="auto"/>
              <w:sz w:val="24"/>
              <w:szCs w:val="28"/>
            </w:rPr>
            <w:fldChar w:fldCharType="separate"/>
          </w:r>
          <w:r>
            <w:rPr>
              <w:color w:val="auto"/>
              <w:sz w:val="24"/>
              <w:szCs w:val="28"/>
            </w:rPr>
            <w:t>13</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"_Toc80863152" </w:instrText>
          </w:r>
          <w:r>
            <w:rPr>
              <w:color w:val="auto"/>
              <w:sz w:val="24"/>
              <w:szCs w:val="28"/>
            </w:rPr>
            <w:fldChar w:fldCharType="separate"/>
          </w:r>
          <w:r>
            <w:rPr>
              <w:rStyle w:val="15"/>
              <w:rFonts w:ascii="Times New Roman" w:hAnsi="Times New Roman" w:eastAsia="楷体"/>
              <w:color w:val="auto"/>
              <w:sz w:val="24"/>
              <w:szCs w:val="28"/>
            </w:rPr>
            <w:t>（三）融入知识产权长三角一体化</w:t>
          </w:r>
          <w:r>
            <w:rPr>
              <w:color w:val="auto"/>
              <w:sz w:val="24"/>
              <w:szCs w:val="28"/>
            </w:rPr>
            <w:tab/>
          </w:r>
          <w:r>
            <w:rPr>
              <w:color w:val="auto"/>
              <w:sz w:val="24"/>
              <w:szCs w:val="28"/>
            </w:rPr>
            <w:fldChar w:fldCharType="begin"/>
          </w:r>
          <w:r>
            <w:rPr>
              <w:color w:val="auto"/>
              <w:sz w:val="24"/>
              <w:szCs w:val="28"/>
            </w:rPr>
            <w:instrText xml:space="preserve"> PAGEREF _Toc80863152 \h </w:instrText>
          </w:r>
          <w:r>
            <w:rPr>
              <w:color w:val="auto"/>
              <w:sz w:val="24"/>
              <w:szCs w:val="28"/>
            </w:rPr>
            <w:fldChar w:fldCharType="separate"/>
          </w:r>
          <w:r>
            <w:rPr>
              <w:color w:val="auto"/>
              <w:sz w:val="24"/>
              <w:szCs w:val="28"/>
            </w:rPr>
            <w:t>13</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"_Toc80863153" </w:instrText>
          </w:r>
          <w:r>
            <w:rPr>
              <w:color w:val="auto"/>
              <w:sz w:val="24"/>
              <w:szCs w:val="28"/>
            </w:rPr>
            <w:fldChar w:fldCharType="separate"/>
          </w:r>
          <w:r>
            <w:rPr>
              <w:rStyle w:val="15"/>
              <w:rFonts w:ascii="Times New Roman" w:hAnsi="Times New Roman" w:eastAsia="楷体"/>
              <w:color w:val="auto"/>
              <w:sz w:val="24"/>
              <w:szCs w:val="28"/>
            </w:rPr>
            <w:t>（四）加快知识产权示范区发展</w:t>
          </w:r>
          <w:r>
            <w:rPr>
              <w:color w:val="auto"/>
              <w:sz w:val="24"/>
              <w:szCs w:val="28"/>
            </w:rPr>
            <w:tab/>
          </w:r>
          <w:r>
            <w:rPr>
              <w:color w:val="auto"/>
              <w:sz w:val="24"/>
              <w:szCs w:val="28"/>
            </w:rPr>
            <w:fldChar w:fldCharType="begin"/>
          </w:r>
          <w:r>
            <w:rPr>
              <w:color w:val="auto"/>
              <w:sz w:val="24"/>
              <w:szCs w:val="28"/>
            </w:rPr>
            <w:instrText xml:space="preserve"> PAGEREF _Toc80863153 \h </w:instrText>
          </w:r>
          <w:r>
            <w:rPr>
              <w:color w:val="auto"/>
              <w:sz w:val="24"/>
              <w:szCs w:val="28"/>
            </w:rPr>
            <w:fldChar w:fldCharType="separate"/>
          </w:r>
          <w:r>
            <w:rPr>
              <w:color w:val="auto"/>
              <w:sz w:val="24"/>
              <w:szCs w:val="28"/>
            </w:rPr>
            <w:t>14</w:t>
          </w:r>
          <w:r>
            <w:rPr>
              <w:color w:val="auto"/>
              <w:sz w:val="24"/>
              <w:szCs w:val="28"/>
            </w:rPr>
            <w:fldChar w:fldCharType="end"/>
          </w:r>
          <w:r>
            <w:rPr>
              <w:color w:val="auto"/>
              <w:sz w:val="24"/>
              <w:szCs w:val="28"/>
            </w:rPr>
            <w:fldChar w:fldCharType="end"/>
          </w:r>
        </w:p>
        <w:p>
          <w:pPr>
            <w:pStyle w:val="9"/>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"_Toc80863154" </w:instrText>
          </w:r>
          <w:r>
            <w:rPr>
              <w:color w:val="auto"/>
              <w:sz w:val="24"/>
              <w:szCs w:val="28"/>
            </w:rPr>
            <w:fldChar w:fldCharType="separate"/>
          </w:r>
          <w:r>
            <w:rPr>
              <w:rStyle w:val="15"/>
              <w:rFonts w:ascii="Times New Roman" w:hAnsi="Times New Roman" w:eastAsia="黑体"/>
              <w:color w:val="auto"/>
              <w:sz w:val="24"/>
              <w:szCs w:val="28"/>
            </w:rPr>
            <w:t>三、激活动力，熔铸知识产权创造新优势</w:t>
          </w:r>
          <w:r>
            <w:rPr>
              <w:color w:val="auto"/>
              <w:sz w:val="24"/>
              <w:szCs w:val="28"/>
            </w:rPr>
            <w:tab/>
          </w:r>
          <w:r>
            <w:rPr>
              <w:color w:val="auto"/>
              <w:sz w:val="24"/>
              <w:szCs w:val="28"/>
            </w:rPr>
            <w:fldChar w:fldCharType="begin"/>
          </w:r>
          <w:r>
            <w:rPr>
              <w:color w:val="auto"/>
              <w:sz w:val="24"/>
              <w:szCs w:val="28"/>
            </w:rPr>
            <w:instrText xml:space="preserve"> PAGEREF _Toc80863154 \h </w:instrText>
          </w:r>
          <w:r>
            <w:rPr>
              <w:color w:val="auto"/>
              <w:sz w:val="24"/>
              <w:szCs w:val="28"/>
            </w:rPr>
            <w:fldChar w:fldCharType="separate"/>
          </w:r>
          <w:r>
            <w:rPr>
              <w:color w:val="auto"/>
              <w:sz w:val="24"/>
              <w:szCs w:val="28"/>
            </w:rPr>
            <w:t>15</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"_Toc80863155" </w:instrText>
          </w:r>
          <w:r>
            <w:rPr>
              <w:color w:val="auto"/>
              <w:sz w:val="24"/>
              <w:szCs w:val="28"/>
            </w:rPr>
            <w:fldChar w:fldCharType="separate"/>
          </w:r>
          <w:r>
            <w:rPr>
              <w:rStyle w:val="15"/>
              <w:rFonts w:ascii="Times New Roman" w:hAnsi="Times New Roman" w:eastAsia="楷体"/>
              <w:color w:val="auto"/>
              <w:sz w:val="24"/>
              <w:szCs w:val="28"/>
            </w:rPr>
            <w:t>（一）着力培育高质量特色化知识产权</w:t>
          </w:r>
          <w:r>
            <w:rPr>
              <w:color w:val="auto"/>
              <w:sz w:val="24"/>
              <w:szCs w:val="28"/>
            </w:rPr>
            <w:tab/>
          </w:r>
          <w:r>
            <w:rPr>
              <w:color w:val="auto"/>
              <w:sz w:val="24"/>
              <w:szCs w:val="28"/>
            </w:rPr>
            <w:fldChar w:fldCharType="begin"/>
          </w:r>
          <w:r>
            <w:rPr>
              <w:color w:val="auto"/>
              <w:sz w:val="24"/>
              <w:szCs w:val="28"/>
            </w:rPr>
            <w:instrText xml:space="preserve"> PAGEREF _Toc80863155 \h </w:instrText>
          </w:r>
          <w:r>
            <w:rPr>
              <w:color w:val="auto"/>
              <w:sz w:val="24"/>
              <w:szCs w:val="28"/>
            </w:rPr>
            <w:fldChar w:fldCharType="separate"/>
          </w:r>
          <w:r>
            <w:rPr>
              <w:color w:val="auto"/>
              <w:sz w:val="24"/>
              <w:szCs w:val="28"/>
            </w:rPr>
            <w:t>15</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"_Toc80863156" </w:instrText>
          </w:r>
          <w:r>
            <w:rPr>
              <w:color w:val="auto"/>
              <w:sz w:val="24"/>
              <w:szCs w:val="28"/>
            </w:rPr>
            <w:fldChar w:fldCharType="separate"/>
          </w:r>
          <w:r>
            <w:rPr>
              <w:rStyle w:val="15"/>
              <w:rFonts w:ascii="Times New Roman" w:hAnsi="Times New Roman" w:eastAsia="楷体"/>
              <w:color w:val="auto"/>
              <w:sz w:val="24"/>
              <w:szCs w:val="28"/>
            </w:rPr>
            <w:t>（二）强化龙头和品牌企业的创新引领作用</w:t>
          </w:r>
          <w:r>
            <w:rPr>
              <w:color w:val="auto"/>
              <w:sz w:val="24"/>
              <w:szCs w:val="28"/>
            </w:rPr>
            <w:tab/>
          </w:r>
          <w:r>
            <w:rPr>
              <w:color w:val="auto"/>
              <w:sz w:val="24"/>
              <w:szCs w:val="28"/>
            </w:rPr>
            <w:fldChar w:fldCharType="begin"/>
          </w:r>
          <w:r>
            <w:rPr>
              <w:color w:val="auto"/>
              <w:sz w:val="24"/>
              <w:szCs w:val="28"/>
            </w:rPr>
            <w:instrText xml:space="preserve"> PAGEREF _Toc80863156 \h </w:instrText>
          </w:r>
          <w:r>
            <w:rPr>
              <w:color w:val="auto"/>
              <w:sz w:val="24"/>
              <w:szCs w:val="28"/>
            </w:rPr>
            <w:fldChar w:fldCharType="separate"/>
          </w:r>
          <w:r>
            <w:rPr>
              <w:color w:val="auto"/>
              <w:sz w:val="24"/>
              <w:szCs w:val="28"/>
            </w:rPr>
            <w:t>17</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"_Toc80863157" </w:instrText>
          </w:r>
          <w:r>
            <w:rPr>
              <w:color w:val="auto"/>
              <w:sz w:val="24"/>
              <w:szCs w:val="28"/>
            </w:rPr>
            <w:fldChar w:fldCharType="separate"/>
          </w:r>
          <w:r>
            <w:rPr>
              <w:rStyle w:val="15"/>
              <w:rFonts w:ascii="Times New Roman" w:hAnsi="Times New Roman" w:eastAsia="楷体"/>
              <w:color w:val="auto"/>
              <w:sz w:val="24"/>
              <w:szCs w:val="28"/>
            </w:rPr>
            <w:t>（三）释放高校和科研院所创新活力</w:t>
          </w:r>
          <w:r>
            <w:rPr>
              <w:color w:val="auto"/>
              <w:sz w:val="24"/>
              <w:szCs w:val="28"/>
            </w:rPr>
            <w:tab/>
          </w:r>
          <w:r>
            <w:rPr>
              <w:color w:val="auto"/>
              <w:sz w:val="24"/>
              <w:szCs w:val="28"/>
            </w:rPr>
            <w:fldChar w:fldCharType="begin"/>
          </w:r>
          <w:r>
            <w:rPr>
              <w:color w:val="auto"/>
              <w:sz w:val="24"/>
              <w:szCs w:val="28"/>
            </w:rPr>
            <w:instrText xml:space="preserve"> PAGEREF _Toc80863157 \h </w:instrText>
          </w:r>
          <w:r>
            <w:rPr>
              <w:color w:val="auto"/>
              <w:sz w:val="24"/>
              <w:szCs w:val="28"/>
            </w:rPr>
            <w:fldChar w:fldCharType="separate"/>
          </w:r>
          <w:r>
            <w:rPr>
              <w:color w:val="auto"/>
              <w:sz w:val="24"/>
              <w:szCs w:val="28"/>
            </w:rPr>
            <w:t>18</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"_Toc80863158" </w:instrText>
          </w:r>
          <w:r>
            <w:rPr>
              <w:color w:val="auto"/>
              <w:sz w:val="24"/>
              <w:szCs w:val="28"/>
            </w:rPr>
            <w:fldChar w:fldCharType="separate"/>
          </w:r>
          <w:r>
            <w:rPr>
              <w:rStyle w:val="15"/>
              <w:rFonts w:ascii="Times New Roman" w:hAnsi="Times New Roman" w:eastAsia="楷体"/>
              <w:color w:val="auto"/>
              <w:sz w:val="24"/>
              <w:szCs w:val="28"/>
            </w:rPr>
            <w:t>（四）全面优化知识产权公共服务供给</w:t>
          </w:r>
          <w:r>
            <w:rPr>
              <w:color w:val="auto"/>
              <w:sz w:val="24"/>
              <w:szCs w:val="28"/>
            </w:rPr>
            <w:tab/>
          </w:r>
          <w:r>
            <w:rPr>
              <w:color w:val="auto"/>
              <w:sz w:val="24"/>
              <w:szCs w:val="28"/>
            </w:rPr>
            <w:fldChar w:fldCharType="begin"/>
          </w:r>
          <w:r>
            <w:rPr>
              <w:color w:val="auto"/>
              <w:sz w:val="24"/>
              <w:szCs w:val="28"/>
            </w:rPr>
            <w:instrText xml:space="preserve"> PAGEREF _Toc80863158 \h </w:instrText>
          </w:r>
          <w:r>
            <w:rPr>
              <w:color w:val="auto"/>
              <w:sz w:val="24"/>
              <w:szCs w:val="28"/>
            </w:rPr>
            <w:fldChar w:fldCharType="separate"/>
          </w:r>
          <w:r>
            <w:rPr>
              <w:color w:val="auto"/>
              <w:sz w:val="24"/>
              <w:szCs w:val="28"/>
            </w:rPr>
            <w:t>18</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"_Toc80863159" </w:instrText>
          </w:r>
          <w:r>
            <w:rPr>
              <w:color w:val="auto"/>
              <w:sz w:val="24"/>
              <w:szCs w:val="28"/>
            </w:rPr>
            <w:fldChar w:fldCharType="separate"/>
          </w:r>
          <w:r>
            <w:rPr>
              <w:rStyle w:val="15"/>
              <w:rFonts w:ascii="Times New Roman" w:hAnsi="Times New Roman" w:eastAsia="楷体"/>
              <w:color w:val="auto"/>
              <w:sz w:val="24"/>
              <w:szCs w:val="28"/>
            </w:rPr>
            <w:t>（五）大力发展知识产权服务业</w:t>
          </w:r>
          <w:r>
            <w:rPr>
              <w:color w:val="auto"/>
              <w:sz w:val="24"/>
              <w:szCs w:val="28"/>
            </w:rPr>
            <w:tab/>
          </w:r>
          <w:r>
            <w:rPr>
              <w:color w:val="auto"/>
              <w:sz w:val="24"/>
              <w:szCs w:val="28"/>
            </w:rPr>
            <w:fldChar w:fldCharType="begin"/>
          </w:r>
          <w:r>
            <w:rPr>
              <w:color w:val="auto"/>
              <w:sz w:val="24"/>
              <w:szCs w:val="28"/>
            </w:rPr>
            <w:instrText xml:space="preserve"> PAGEREF _Toc80863159 \h </w:instrText>
          </w:r>
          <w:r>
            <w:rPr>
              <w:color w:val="auto"/>
              <w:sz w:val="24"/>
              <w:szCs w:val="28"/>
            </w:rPr>
            <w:fldChar w:fldCharType="separate"/>
          </w:r>
          <w:r>
            <w:rPr>
              <w:color w:val="auto"/>
              <w:sz w:val="24"/>
              <w:szCs w:val="28"/>
            </w:rPr>
            <w:t>19</w:t>
          </w:r>
          <w:r>
            <w:rPr>
              <w:color w:val="auto"/>
              <w:sz w:val="24"/>
              <w:szCs w:val="28"/>
            </w:rPr>
            <w:fldChar w:fldCharType="end"/>
          </w:r>
          <w:r>
            <w:rPr>
              <w:color w:val="auto"/>
              <w:sz w:val="24"/>
              <w:szCs w:val="28"/>
            </w:rPr>
            <w:fldChar w:fldCharType="end"/>
          </w:r>
        </w:p>
        <w:p>
          <w:pPr>
            <w:pStyle w:val="9"/>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"_Toc80863160" </w:instrText>
          </w:r>
          <w:r>
            <w:rPr>
              <w:color w:val="auto"/>
              <w:sz w:val="24"/>
              <w:szCs w:val="28"/>
            </w:rPr>
            <w:fldChar w:fldCharType="separate"/>
          </w:r>
          <w:r>
            <w:rPr>
              <w:rStyle w:val="15"/>
              <w:rFonts w:ascii="Times New Roman" w:hAnsi="Times New Roman" w:eastAsia="黑体"/>
              <w:color w:val="auto"/>
              <w:sz w:val="24"/>
              <w:szCs w:val="28"/>
            </w:rPr>
            <w:t>四、赋能产业，开启知识产权运用新局面</w:t>
          </w:r>
          <w:r>
            <w:rPr>
              <w:color w:val="auto"/>
              <w:sz w:val="24"/>
              <w:szCs w:val="28"/>
            </w:rPr>
            <w:tab/>
          </w:r>
          <w:r>
            <w:rPr>
              <w:color w:val="auto"/>
              <w:sz w:val="24"/>
              <w:szCs w:val="28"/>
            </w:rPr>
            <w:fldChar w:fldCharType="begin"/>
          </w:r>
          <w:r>
            <w:rPr>
              <w:color w:val="auto"/>
              <w:sz w:val="24"/>
              <w:szCs w:val="28"/>
            </w:rPr>
            <w:instrText xml:space="preserve"> PAGEREF _Toc80863160 \h </w:instrText>
          </w:r>
          <w:r>
            <w:rPr>
              <w:color w:val="auto"/>
              <w:sz w:val="24"/>
              <w:szCs w:val="28"/>
            </w:rPr>
            <w:fldChar w:fldCharType="separate"/>
          </w:r>
          <w:r>
            <w:rPr>
              <w:color w:val="auto"/>
              <w:sz w:val="24"/>
              <w:szCs w:val="28"/>
            </w:rPr>
            <w:t>20</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"_Toc80863161" </w:instrText>
          </w:r>
          <w:r>
            <w:rPr>
              <w:color w:val="auto"/>
              <w:sz w:val="24"/>
              <w:szCs w:val="28"/>
            </w:rPr>
            <w:fldChar w:fldCharType="separate"/>
          </w:r>
          <w:r>
            <w:rPr>
              <w:rStyle w:val="15"/>
              <w:rFonts w:ascii="Times New Roman" w:hAnsi="Times New Roman" w:eastAsia="楷体"/>
              <w:color w:val="auto"/>
              <w:sz w:val="24"/>
              <w:szCs w:val="28"/>
            </w:rPr>
            <w:t>（一）强化知识产权产业支撑机制</w:t>
          </w:r>
          <w:r>
            <w:rPr>
              <w:color w:val="auto"/>
              <w:sz w:val="24"/>
              <w:szCs w:val="28"/>
            </w:rPr>
            <w:tab/>
          </w:r>
          <w:r>
            <w:rPr>
              <w:color w:val="auto"/>
              <w:sz w:val="24"/>
              <w:szCs w:val="28"/>
            </w:rPr>
            <w:fldChar w:fldCharType="begin"/>
          </w:r>
          <w:r>
            <w:rPr>
              <w:color w:val="auto"/>
              <w:sz w:val="24"/>
              <w:szCs w:val="28"/>
            </w:rPr>
            <w:instrText xml:space="preserve"> PAGEREF _Toc80863161 \h </w:instrText>
          </w:r>
          <w:r>
            <w:rPr>
              <w:color w:val="auto"/>
              <w:sz w:val="24"/>
              <w:szCs w:val="28"/>
            </w:rPr>
            <w:fldChar w:fldCharType="separate"/>
          </w:r>
          <w:r>
            <w:rPr>
              <w:color w:val="auto"/>
              <w:sz w:val="24"/>
              <w:szCs w:val="28"/>
            </w:rPr>
            <w:t>20</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"_Toc80863162" </w:instrText>
          </w:r>
          <w:r>
            <w:rPr>
              <w:color w:val="auto"/>
              <w:sz w:val="24"/>
              <w:szCs w:val="28"/>
            </w:rPr>
            <w:fldChar w:fldCharType="separate"/>
          </w:r>
          <w:r>
            <w:rPr>
              <w:rStyle w:val="15"/>
              <w:rFonts w:ascii="Times New Roman" w:hAnsi="Times New Roman" w:eastAsia="楷体"/>
              <w:color w:val="auto"/>
              <w:sz w:val="24"/>
              <w:szCs w:val="28"/>
            </w:rPr>
            <w:t>（二）拓宽知识产权投融资渠道</w:t>
          </w:r>
          <w:r>
            <w:rPr>
              <w:color w:val="auto"/>
              <w:sz w:val="24"/>
              <w:szCs w:val="28"/>
            </w:rPr>
            <w:tab/>
          </w:r>
          <w:r>
            <w:rPr>
              <w:color w:val="auto"/>
              <w:sz w:val="24"/>
              <w:szCs w:val="28"/>
            </w:rPr>
            <w:fldChar w:fldCharType="begin"/>
          </w:r>
          <w:r>
            <w:rPr>
              <w:color w:val="auto"/>
              <w:sz w:val="24"/>
              <w:szCs w:val="28"/>
            </w:rPr>
            <w:instrText xml:space="preserve"> PAGEREF _Toc80863162 \h </w:instrText>
          </w:r>
          <w:r>
            <w:rPr>
              <w:color w:val="auto"/>
              <w:sz w:val="24"/>
              <w:szCs w:val="28"/>
            </w:rPr>
            <w:fldChar w:fldCharType="separate"/>
          </w:r>
          <w:r>
            <w:rPr>
              <w:color w:val="auto"/>
              <w:sz w:val="24"/>
              <w:szCs w:val="28"/>
            </w:rPr>
            <w:t>21</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"_Toc80863163" </w:instrText>
          </w:r>
          <w:r>
            <w:rPr>
              <w:color w:val="auto"/>
              <w:sz w:val="24"/>
              <w:szCs w:val="28"/>
            </w:rPr>
            <w:fldChar w:fldCharType="separate"/>
          </w:r>
          <w:r>
            <w:rPr>
              <w:rStyle w:val="15"/>
              <w:rFonts w:ascii="Times New Roman" w:hAnsi="Times New Roman" w:eastAsia="楷体"/>
              <w:color w:val="auto"/>
              <w:sz w:val="24"/>
              <w:szCs w:val="28"/>
            </w:rPr>
            <w:t>（三）促进知识产权成果转化</w:t>
          </w:r>
          <w:r>
            <w:rPr>
              <w:color w:val="auto"/>
              <w:sz w:val="24"/>
              <w:szCs w:val="28"/>
            </w:rPr>
            <w:tab/>
          </w:r>
          <w:r>
            <w:rPr>
              <w:color w:val="auto"/>
              <w:sz w:val="24"/>
              <w:szCs w:val="28"/>
            </w:rPr>
            <w:fldChar w:fldCharType="begin"/>
          </w:r>
          <w:r>
            <w:rPr>
              <w:color w:val="auto"/>
              <w:sz w:val="24"/>
              <w:szCs w:val="28"/>
            </w:rPr>
            <w:instrText xml:space="preserve"> PAGEREF _Toc80863163 \h </w:instrText>
          </w:r>
          <w:r>
            <w:rPr>
              <w:color w:val="auto"/>
              <w:sz w:val="24"/>
              <w:szCs w:val="28"/>
            </w:rPr>
            <w:fldChar w:fldCharType="separate"/>
          </w:r>
          <w:r>
            <w:rPr>
              <w:color w:val="auto"/>
              <w:sz w:val="24"/>
              <w:szCs w:val="28"/>
            </w:rPr>
            <w:t>22</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"_Toc80863164" </w:instrText>
          </w:r>
          <w:r>
            <w:rPr>
              <w:color w:val="auto"/>
              <w:sz w:val="24"/>
              <w:szCs w:val="28"/>
            </w:rPr>
            <w:fldChar w:fldCharType="separate"/>
          </w:r>
          <w:r>
            <w:rPr>
              <w:rStyle w:val="15"/>
              <w:rFonts w:ascii="Times New Roman" w:hAnsi="Times New Roman" w:eastAsia="楷体"/>
              <w:color w:val="auto"/>
              <w:sz w:val="24"/>
              <w:szCs w:val="28"/>
            </w:rPr>
            <w:t>（四）提升知识产权助力乡村振兴效能</w:t>
          </w:r>
          <w:r>
            <w:rPr>
              <w:color w:val="auto"/>
              <w:sz w:val="24"/>
              <w:szCs w:val="28"/>
            </w:rPr>
            <w:tab/>
          </w:r>
          <w:r>
            <w:rPr>
              <w:color w:val="auto"/>
              <w:sz w:val="24"/>
              <w:szCs w:val="28"/>
            </w:rPr>
            <w:fldChar w:fldCharType="begin"/>
          </w:r>
          <w:r>
            <w:rPr>
              <w:color w:val="auto"/>
              <w:sz w:val="24"/>
              <w:szCs w:val="28"/>
            </w:rPr>
            <w:instrText xml:space="preserve"> PAGEREF _Toc80863164 \h </w:instrText>
          </w:r>
          <w:r>
            <w:rPr>
              <w:color w:val="auto"/>
              <w:sz w:val="24"/>
              <w:szCs w:val="28"/>
            </w:rPr>
            <w:fldChar w:fldCharType="separate"/>
          </w:r>
          <w:r>
            <w:rPr>
              <w:color w:val="auto"/>
              <w:sz w:val="24"/>
              <w:szCs w:val="28"/>
            </w:rPr>
            <w:t>23</w:t>
          </w:r>
          <w:r>
            <w:rPr>
              <w:color w:val="auto"/>
              <w:sz w:val="24"/>
              <w:szCs w:val="28"/>
            </w:rPr>
            <w:fldChar w:fldCharType="end"/>
          </w:r>
          <w:r>
            <w:rPr>
              <w:color w:val="auto"/>
              <w:sz w:val="24"/>
              <w:szCs w:val="28"/>
            </w:rPr>
            <w:fldChar w:fldCharType="end"/>
          </w:r>
        </w:p>
        <w:p>
          <w:pPr>
            <w:pStyle w:val="9"/>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"_Toc80863165" </w:instrText>
          </w:r>
          <w:r>
            <w:rPr>
              <w:color w:val="auto"/>
              <w:sz w:val="24"/>
              <w:szCs w:val="28"/>
            </w:rPr>
            <w:fldChar w:fldCharType="separate"/>
          </w:r>
          <w:r>
            <w:rPr>
              <w:rStyle w:val="15"/>
              <w:rFonts w:ascii="Times New Roman" w:hAnsi="Times New Roman" w:eastAsia="黑体"/>
              <w:color w:val="auto"/>
              <w:sz w:val="24"/>
              <w:szCs w:val="28"/>
            </w:rPr>
            <w:t>五、多措并举，筑建知识产权保护新高地</w:t>
          </w:r>
          <w:r>
            <w:rPr>
              <w:color w:val="auto"/>
              <w:sz w:val="24"/>
              <w:szCs w:val="28"/>
            </w:rPr>
            <w:tab/>
          </w:r>
          <w:r>
            <w:rPr>
              <w:color w:val="auto"/>
              <w:sz w:val="24"/>
              <w:szCs w:val="28"/>
            </w:rPr>
            <w:fldChar w:fldCharType="begin"/>
          </w:r>
          <w:r>
            <w:rPr>
              <w:color w:val="auto"/>
              <w:sz w:val="24"/>
              <w:szCs w:val="28"/>
            </w:rPr>
            <w:instrText xml:space="preserve"> PAGEREF _Toc80863165 \h </w:instrText>
          </w:r>
          <w:r>
            <w:rPr>
              <w:color w:val="auto"/>
              <w:sz w:val="24"/>
              <w:szCs w:val="28"/>
            </w:rPr>
            <w:fldChar w:fldCharType="separate"/>
          </w:r>
          <w:r>
            <w:rPr>
              <w:color w:val="auto"/>
              <w:sz w:val="24"/>
              <w:szCs w:val="28"/>
            </w:rPr>
            <w:t>24</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"_Toc80863166" </w:instrText>
          </w:r>
          <w:r>
            <w:rPr>
              <w:color w:val="auto"/>
              <w:sz w:val="24"/>
              <w:szCs w:val="28"/>
            </w:rPr>
            <w:fldChar w:fldCharType="separate"/>
          </w:r>
          <w:r>
            <w:rPr>
              <w:rStyle w:val="15"/>
              <w:rFonts w:ascii="Times New Roman" w:hAnsi="Times New Roman" w:eastAsia="楷体"/>
              <w:color w:val="auto"/>
              <w:sz w:val="24"/>
              <w:szCs w:val="28"/>
            </w:rPr>
            <w:t>（一）树立知识产权“严保护”明确导向</w:t>
          </w:r>
          <w:r>
            <w:rPr>
              <w:color w:val="auto"/>
              <w:sz w:val="24"/>
              <w:szCs w:val="28"/>
            </w:rPr>
            <w:tab/>
          </w:r>
          <w:r>
            <w:rPr>
              <w:color w:val="auto"/>
              <w:sz w:val="24"/>
              <w:szCs w:val="28"/>
            </w:rPr>
            <w:fldChar w:fldCharType="begin"/>
          </w:r>
          <w:r>
            <w:rPr>
              <w:color w:val="auto"/>
              <w:sz w:val="24"/>
              <w:szCs w:val="28"/>
            </w:rPr>
            <w:instrText xml:space="preserve"> PAGEREF _Toc80863166 \h </w:instrText>
          </w:r>
          <w:r>
            <w:rPr>
              <w:color w:val="auto"/>
              <w:sz w:val="24"/>
              <w:szCs w:val="28"/>
            </w:rPr>
            <w:fldChar w:fldCharType="separate"/>
          </w:r>
          <w:r>
            <w:rPr>
              <w:color w:val="auto"/>
              <w:sz w:val="24"/>
              <w:szCs w:val="28"/>
            </w:rPr>
            <w:t>24</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"_Toc80863167" </w:instrText>
          </w:r>
          <w:r>
            <w:rPr>
              <w:color w:val="auto"/>
              <w:sz w:val="24"/>
              <w:szCs w:val="28"/>
            </w:rPr>
            <w:fldChar w:fldCharType="separate"/>
          </w:r>
          <w:r>
            <w:rPr>
              <w:rStyle w:val="15"/>
              <w:rFonts w:ascii="Times New Roman" w:hAnsi="Times New Roman" w:eastAsia="楷体"/>
              <w:color w:val="auto"/>
              <w:sz w:val="24"/>
              <w:szCs w:val="28"/>
            </w:rPr>
            <w:t>（二）构建知识产权“大保护”工作格局</w:t>
          </w:r>
          <w:r>
            <w:rPr>
              <w:color w:val="auto"/>
              <w:sz w:val="24"/>
              <w:szCs w:val="28"/>
            </w:rPr>
            <w:tab/>
          </w:r>
          <w:r>
            <w:rPr>
              <w:color w:val="auto"/>
              <w:sz w:val="24"/>
              <w:szCs w:val="28"/>
            </w:rPr>
            <w:fldChar w:fldCharType="begin"/>
          </w:r>
          <w:r>
            <w:rPr>
              <w:color w:val="auto"/>
              <w:sz w:val="24"/>
              <w:szCs w:val="28"/>
            </w:rPr>
            <w:instrText xml:space="preserve"> PAGEREF _Toc80863167 \h </w:instrText>
          </w:r>
          <w:r>
            <w:rPr>
              <w:color w:val="auto"/>
              <w:sz w:val="24"/>
              <w:szCs w:val="28"/>
            </w:rPr>
            <w:fldChar w:fldCharType="separate"/>
          </w:r>
          <w:r>
            <w:rPr>
              <w:color w:val="auto"/>
              <w:sz w:val="24"/>
              <w:szCs w:val="28"/>
            </w:rPr>
            <w:t>25</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"_Toc80863168" </w:instrText>
          </w:r>
          <w:r>
            <w:rPr>
              <w:color w:val="auto"/>
              <w:sz w:val="24"/>
              <w:szCs w:val="28"/>
            </w:rPr>
            <w:fldChar w:fldCharType="separate"/>
          </w:r>
          <w:r>
            <w:rPr>
              <w:rStyle w:val="15"/>
              <w:rFonts w:ascii="Times New Roman" w:hAnsi="Times New Roman" w:eastAsia="楷体"/>
              <w:color w:val="auto"/>
              <w:sz w:val="24"/>
              <w:szCs w:val="28"/>
            </w:rPr>
            <w:t>（三）实施知识产权“快保护”关键举措</w:t>
          </w:r>
          <w:r>
            <w:rPr>
              <w:color w:val="auto"/>
              <w:sz w:val="24"/>
              <w:szCs w:val="28"/>
            </w:rPr>
            <w:tab/>
          </w:r>
          <w:r>
            <w:rPr>
              <w:color w:val="auto"/>
              <w:sz w:val="24"/>
              <w:szCs w:val="28"/>
            </w:rPr>
            <w:fldChar w:fldCharType="begin"/>
          </w:r>
          <w:r>
            <w:rPr>
              <w:color w:val="auto"/>
              <w:sz w:val="24"/>
              <w:szCs w:val="28"/>
            </w:rPr>
            <w:instrText xml:space="preserve"> PAGEREF _Toc80863168 \h </w:instrText>
          </w:r>
          <w:r>
            <w:rPr>
              <w:color w:val="auto"/>
              <w:sz w:val="24"/>
              <w:szCs w:val="28"/>
            </w:rPr>
            <w:fldChar w:fldCharType="separate"/>
          </w:r>
          <w:r>
            <w:rPr>
              <w:color w:val="auto"/>
              <w:sz w:val="24"/>
              <w:szCs w:val="28"/>
            </w:rPr>
            <w:t>26</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"_Toc80863169" </w:instrText>
          </w:r>
          <w:r>
            <w:rPr>
              <w:color w:val="auto"/>
              <w:sz w:val="24"/>
              <w:szCs w:val="28"/>
            </w:rPr>
            <w:fldChar w:fldCharType="separate"/>
          </w:r>
          <w:r>
            <w:rPr>
              <w:rStyle w:val="15"/>
              <w:rFonts w:ascii="Times New Roman" w:hAnsi="Times New Roman" w:eastAsia="楷体"/>
              <w:color w:val="auto"/>
              <w:sz w:val="24"/>
              <w:szCs w:val="28"/>
            </w:rPr>
            <w:t>（四）营造知识产权“同保护”优越环境</w:t>
          </w:r>
          <w:r>
            <w:rPr>
              <w:color w:val="auto"/>
              <w:sz w:val="24"/>
              <w:szCs w:val="28"/>
            </w:rPr>
            <w:tab/>
          </w:r>
          <w:r>
            <w:rPr>
              <w:color w:val="auto"/>
              <w:sz w:val="24"/>
              <w:szCs w:val="28"/>
            </w:rPr>
            <w:fldChar w:fldCharType="begin"/>
          </w:r>
          <w:r>
            <w:rPr>
              <w:color w:val="auto"/>
              <w:sz w:val="24"/>
              <w:szCs w:val="28"/>
            </w:rPr>
            <w:instrText xml:space="preserve"> PAGEREF _Toc80863169 \h </w:instrText>
          </w:r>
          <w:r>
            <w:rPr>
              <w:color w:val="auto"/>
              <w:sz w:val="24"/>
              <w:szCs w:val="28"/>
            </w:rPr>
            <w:fldChar w:fldCharType="separate"/>
          </w:r>
          <w:r>
            <w:rPr>
              <w:color w:val="auto"/>
              <w:sz w:val="24"/>
              <w:szCs w:val="28"/>
            </w:rPr>
            <w:t>26</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"_Toc80863170" </w:instrText>
          </w:r>
          <w:r>
            <w:rPr>
              <w:color w:val="auto"/>
              <w:sz w:val="24"/>
              <w:szCs w:val="28"/>
            </w:rPr>
            <w:fldChar w:fldCharType="separate"/>
          </w:r>
          <w:r>
            <w:rPr>
              <w:rStyle w:val="15"/>
              <w:rFonts w:ascii="Times New Roman" w:hAnsi="Times New Roman" w:eastAsia="楷体"/>
              <w:color w:val="auto"/>
              <w:sz w:val="24"/>
              <w:szCs w:val="28"/>
            </w:rPr>
            <w:t>（五）夯实知识产权“智保护”技术支撑</w:t>
          </w:r>
          <w:r>
            <w:rPr>
              <w:color w:val="auto"/>
              <w:sz w:val="24"/>
              <w:szCs w:val="28"/>
            </w:rPr>
            <w:tab/>
          </w:r>
          <w:r>
            <w:rPr>
              <w:color w:val="auto"/>
              <w:sz w:val="24"/>
              <w:szCs w:val="28"/>
            </w:rPr>
            <w:fldChar w:fldCharType="begin"/>
          </w:r>
          <w:r>
            <w:rPr>
              <w:color w:val="auto"/>
              <w:sz w:val="24"/>
              <w:szCs w:val="28"/>
            </w:rPr>
            <w:instrText xml:space="preserve"> PAGEREF _Toc80863170 \h </w:instrText>
          </w:r>
          <w:r>
            <w:rPr>
              <w:color w:val="auto"/>
              <w:sz w:val="24"/>
              <w:szCs w:val="28"/>
            </w:rPr>
            <w:fldChar w:fldCharType="separate"/>
          </w:r>
          <w:r>
            <w:rPr>
              <w:color w:val="auto"/>
              <w:sz w:val="24"/>
              <w:szCs w:val="28"/>
            </w:rPr>
            <w:t>27</w:t>
          </w:r>
          <w:r>
            <w:rPr>
              <w:color w:val="auto"/>
              <w:sz w:val="24"/>
              <w:szCs w:val="28"/>
            </w:rPr>
            <w:fldChar w:fldCharType="end"/>
          </w:r>
          <w:r>
            <w:rPr>
              <w:color w:val="auto"/>
              <w:sz w:val="24"/>
              <w:szCs w:val="28"/>
            </w:rPr>
            <w:fldChar w:fldCharType="end"/>
          </w:r>
        </w:p>
        <w:p>
          <w:pPr>
            <w:pStyle w:val="9"/>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"_Toc80863171" </w:instrText>
          </w:r>
          <w:r>
            <w:rPr>
              <w:color w:val="auto"/>
              <w:sz w:val="24"/>
              <w:szCs w:val="28"/>
            </w:rPr>
            <w:fldChar w:fldCharType="separate"/>
          </w:r>
          <w:r>
            <w:rPr>
              <w:rStyle w:val="15"/>
              <w:rFonts w:ascii="Times New Roman" w:hAnsi="Times New Roman" w:eastAsia="黑体"/>
              <w:color w:val="auto"/>
              <w:sz w:val="24"/>
              <w:szCs w:val="28"/>
            </w:rPr>
            <w:t>六、数智赋能，打造知识产权“新基建”</w:t>
          </w:r>
          <w:r>
            <w:rPr>
              <w:color w:val="auto"/>
              <w:sz w:val="24"/>
              <w:szCs w:val="28"/>
            </w:rPr>
            <w:tab/>
          </w:r>
          <w:r>
            <w:rPr>
              <w:color w:val="auto"/>
              <w:sz w:val="24"/>
              <w:szCs w:val="28"/>
            </w:rPr>
            <w:fldChar w:fldCharType="begin"/>
          </w:r>
          <w:r>
            <w:rPr>
              <w:color w:val="auto"/>
              <w:sz w:val="24"/>
              <w:szCs w:val="28"/>
            </w:rPr>
            <w:instrText xml:space="preserve"> PAGEREF _Toc80863171 \h </w:instrText>
          </w:r>
          <w:r>
            <w:rPr>
              <w:color w:val="auto"/>
              <w:sz w:val="24"/>
              <w:szCs w:val="28"/>
            </w:rPr>
            <w:fldChar w:fldCharType="separate"/>
          </w:r>
          <w:r>
            <w:rPr>
              <w:color w:val="auto"/>
              <w:sz w:val="24"/>
              <w:szCs w:val="28"/>
            </w:rPr>
            <w:t>28</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"_Toc80863172" </w:instrText>
          </w:r>
          <w:r>
            <w:rPr>
              <w:color w:val="auto"/>
              <w:sz w:val="24"/>
              <w:szCs w:val="28"/>
            </w:rPr>
            <w:fldChar w:fldCharType="separate"/>
          </w:r>
          <w:r>
            <w:rPr>
              <w:rStyle w:val="15"/>
              <w:rFonts w:ascii="Times New Roman" w:hAnsi="Times New Roman" w:eastAsia="楷体"/>
              <w:color w:val="auto"/>
              <w:sz w:val="24"/>
              <w:szCs w:val="28"/>
            </w:rPr>
            <w:t>（一）建立知识产权数据服务体系</w:t>
          </w:r>
          <w:r>
            <w:rPr>
              <w:color w:val="auto"/>
              <w:sz w:val="24"/>
              <w:szCs w:val="28"/>
            </w:rPr>
            <w:tab/>
          </w:r>
          <w:r>
            <w:rPr>
              <w:color w:val="auto"/>
              <w:sz w:val="24"/>
              <w:szCs w:val="28"/>
            </w:rPr>
            <w:fldChar w:fldCharType="begin"/>
          </w:r>
          <w:r>
            <w:rPr>
              <w:color w:val="auto"/>
              <w:sz w:val="24"/>
              <w:szCs w:val="28"/>
            </w:rPr>
            <w:instrText xml:space="preserve"> PAGEREF _Toc80863172 \h </w:instrText>
          </w:r>
          <w:r>
            <w:rPr>
              <w:color w:val="auto"/>
              <w:sz w:val="24"/>
              <w:szCs w:val="28"/>
            </w:rPr>
            <w:fldChar w:fldCharType="separate"/>
          </w:r>
          <w:r>
            <w:rPr>
              <w:color w:val="auto"/>
              <w:sz w:val="24"/>
              <w:szCs w:val="28"/>
            </w:rPr>
            <w:t>28</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"_Toc80863173" </w:instrText>
          </w:r>
          <w:r>
            <w:rPr>
              <w:color w:val="auto"/>
              <w:sz w:val="24"/>
              <w:szCs w:val="28"/>
            </w:rPr>
            <w:fldChar w:fldCharType="separate"/>
          </w:r>
          <w:r>
            <w:rPr>
              <w:rStyle w:val="15"/>
              <w:rFonts w:ascii="Times New Roman" w:hAnsi="Times New Roman" w:eastAsia="楷体"/>
              <w:color w:val="auto"/>
              <w:sz w:val="24"/>
              <w:szCs w:val="28"/>
            </w:rPr>
            <w:t>（二）优化知识产权人才系统工程</w:t>
          </w:r>
          <w:r>
            <w:rPr>
              <w:color w:val="auto"/>
              <w:sz w:val="24"/>
              <w:szCs w:val="28"/>
            </w:rPr>
            <w:tab/>
          </w:r>
          <w:r>
            <w:rPr>
              <w:color w:val="auto"/>
              <w:sz w:val="24"/>
              <w:szCs w:val="28"/>
            </w:rPr>
            <w:fldChar w:fldCharType="begin"/>
          </w:r>
          <w:r>
            <w:rPr>
              <w:color w:val="auto"/>
              <w:sz w:val="24"/>
              <w:szCs w:val="28"/>
            </w:rPr>
            <w:instrText xml:space="preserve"> PAGEREF _Toc80863173 \h </w:instrText>
          </w:r>
          <w:r>
            <w:rPr>
              <w:color w:val="auto"/>
              <w:sz w:val="24"/>
              <w:szCs w:val="28"/>
            </w:rPr>
            <w:fldChar w:fldCharType="separate"/>
          </w:r>
          <w:r>
            <w:rPr>
              <w:color w:val="auto"/>
              <w:sz w:val="24"/>
              <w:szCs w:val="28"/>
            </w:rPr>
            <w:t>29</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"_Toc80863174" </w:instrText>
          </w:r>
          <w:r>
            <w:rPr>
              <w:color w:val="auto"/>
              <w:sz w:val="24"/>
              <w:szCs w:val="28"/>
            </w:rPr>
            <w:fldChar w:fldCharType="separate"/>
          </w:r>
          <w:r>
            <w:rPr>
              <w:rStyle w:val="15"/>
              <w:rFonts w:ascii="Times New Roman" w:hAnsi="Times New Roman" w:eastAsia="楷体"/>
              <w:color w:val="auto"/>
              <w:sz w:val="24"/>
              <w:szCs w:val="28"/>
            </w:rPr>
            <w:t>（三）健全知识产权信用监管体系</w:t>
          </w:r>
          <w:r>
            <w:rPr>
              <w:color w:val="auto"/>
              <w:sz w:val="24"/>
              <w:szCs w:val="28"/>
            </w:rPr>
            <w:tab/>
          </w:r>
          <w:r>
            <w:rPr>
              <w:color w:val="auto"/>
              <w:sz w:val="24"/>
              <w:szCs w:val="28"/>
            </w:rPr>
            <w:fldChar w:fldCharType="begin"/>
          </w:r>
          <w:r>
            <w:rPr>
              <w:color w:val="auto"/>
              <w:sz w:val="24"/>
              <w:szCs w:val="28"/>
            </w:rPr>
            <w:instrText xml:space="preserve"> PAGEREF _Toc80863174 \h </w:instrText>
          </w:r>
          <w:r>
            <w:rPr>
              <w:color w:val="auto"/>
              <w:sz w:val="24"/>
              <w:szCs w:val="28"/>
            </w:rPr>
            <w:fldChar w:fldCharType="separate"/>
          </w:r>
          <w:r>
            <w:rPr>
              <w:color w:val="auto"/>
              <w:sz w:val="24"/>
              <w:szCs w:val="28"/>
            </w:rPr>
            <w:t>30</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"_Toc80863175" </w:instrText>
          </w:r>
          <w:r>
            <w:rPr>
              <w:color w:val="auto"/>
              <w:sz w:val="24"/>
              <w:szCs w:val="28"/>
            </w:rPr>
            <w:fldChar w:fldCharType="separate"/>
          </w:r>
          <w:r>
            <w:rPr>
              <w:rStyle w:val="15"/>
              <w:rFonts w:ascii="Times New Roman" w:hAnsi="Times New Roman" w:eastAsia="楷体"/>
              <w:color w:val="auto"/>
              <w:sz w:val="24"/>
              <w:szCs w:val="28"/>
            </w:rPr>
            <w:t>（四）完善知识产权标准支撑体系</w:t>
          </w:r>
          <w:r>
            <w:rPr>
              <w:color w:val="auto"/>
              <w:sz w:val="24"/>
              <w:szCs w:val="28"/>
            </w:rPr>
            <w:tab/>
          </w:r>
          <w:r>
            <w:rPr>
              <w:color w:val="auto"/>
              <w:sz w:val="24"/>
              <w:szCs w:val="28"/>
            </w:rPr>
            <w:fldChar w:fldCharType="begin"/>
          </w:r>
          <w:r>
            <w:rPr>
              <w:color w:val="auto"/>
              <w:sz w:val="24"/>
              <w:szCs w:val="28"/>
            </w:rPr>
            <w:instrText xml:space="preserve"> PAGEREF _Toc80863175 \h </w:instrText>
          </w:r>
          <w:r>
            <w:rPr>
              <w:color w:val="auto"/>
              <w:sz w:val="24"/>
              <w:szCs w:val="28"/>
            </w:rPr>
            <w:fldChar w:fldCharType="separate"/>
          </w:r>
          <w:r>
            <w:rPr>
              <w:color w:val="auto"/>
              <w:sz w:val="24"/>
              <w:szCs w:val="28"/>
            </w:rPr>
            <w:t>30</w:t>
          </w:r>
          <w:r>
            <w:rPr>
              <w:color w:val="auto"/>
              <w:sz w:val="24"/>
              <w:szCs w:val="28"/>
            </w:rPr>
            <w:fldChar w:fldCharType="end"/>
          </w:r>
          <w:r>
            <w:rPr>
              <w:color w:val="auto"/>
              <w:sz w:val="24"/>
              <w:szCs w:val="28"/>
            </w:rPr>
            <w:fldChar w:fldCharType="end"/>
          </w:r>
        </w:p>
        <w:p>
          <w:pPr>
            <w:pStyle w:val="9"/>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"_Toc80863176" </w:instrText>
          </w:r>
          <w:r>
            <w:rPr>
              <w:color w:val="auto"/>
              <w:sz w:val="24"/>
              <w:szCs w:val="28"/>
            </w:rPr>
            <w:fldChar w:fldCharType="separate"/>
          </w:r>
          <w:r>
            <w:rPr>
              <w:rStyle w:val="15"/>
              <w:rFonts w:ascii="Times New Roman" w:hAnsi="Times New Roman" w:eastAsia="黑体"/>
              <w:color w:val="auto"/>
              <w:sz w:val="24"/>
              <w:szCs w:val="28"/>
            </w:rPr>
            <w:t>七、保障措施</w:t>
          </w:r>
          <w:r>
            <w:rPr>
              <w:color w:val="auto"/>
              <w:sz w:val="24"/>
              <w:szCs w:val="28"/>
            </w:rPr>
            <w:tab/>
          </w:r>
          <w:r>
            <w:rPr>
              <w:color w:val="auto"/>
              <w:sz w:val="24"/>
              <w:szCs w:val="28"/>
            </w:rPr>
            <w:fldChar w:fldCharType="begin"/>
          </w:r>
          <w:r>
            <w:rPr>
              <w:color w:val="auto"/>
              <w:sz w:val="24"/>
              <w:szCs w:val="28"/>
            </w:rPr>
            <w:instrText xml:space="preserve"> PAGEREF _Toc80863176 \h </w:instrText>
          </w:r>
          <w:r>
            <w:rPr>
              <w:color w:val="auto"/>
              <w:sz w:val="24"/>
              <w:szCs w:val="28"/>
            </w:rPr>
            <w:fldChar w:fldCharType="separate"/>
          </w:r>
          <w:r>
            <w:rPr>
              <w:color w:val="auto"/>
              <w:sz w:val="24"/>
              <w:szCs w:val="28"/>
            </w:rPr>
            <w:t>31</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"_Toc80863177" </w:instrText>
          </w:r>
          <w:r>
            <w:rPr>
              <w:color w:val="auto"/>
              <w:sz w:val="24"/>
              <w:szCs w:val="28"/>
            </w:rPr>
            <w:fldChar w:fldCharType="separate"/>
          </w:r>
          <w:r>
            <w:rPr>
              <w:rStyle w:val="15"/>
              <w:rFonts w:ascii="Times New Roman" w:hAnsi="Times New Roman" w:eastAsia="楷体"/>
              <w:color w:val="auto"/>
              <w:sz w:val="24"/>
              <w:szCs w:val="28"/>
            </w:rPr>
            <w:t>（一）强化组织领导</w:t>
          </w:r>
          <w:r>
            <w:rPr>
              <w:color w:val="auto"/>
              <w:sz w:val="24"/>
              <w:szCs w:val="28"/>
            </w:rPr>
            <w:tab/>
          </w:r>
          <w:r>
            <w:rPr>
              <w:color w:val="auto"/>
              <w:sz w:val="24"/>
              <w:szCs w:val="28"/>
            </w:rPr>
            <w:fldChar w:fldCharType="begin"/>
          </w:r>
          <w:r>
            <w:rPr>
              <w:color w:val="auto"/>
              <w:sz w:val="24"/>
              <w:szCs w:val="28"/>
            </w:rPr>
            <w:instrText xml:space="preserve"> PAGEREF _Toc80863177 \h </w:instrText>
          </w:r>
          <w:r>
            <w:rPr>
              <w:color w:val="auto"/>
              <w:sz w:val="24"/>
              <w:szCs w:val="28"/>
            </w:rPr>
            <w:fldChar w:fldCharType="separate"/>
          </w:r>
          <w:r>
            <w:rPr>
              <w:color w:val="auto"/>
              <w:sz w:val="24"/>
              <w:szCs w:val="28"/>
            </w:rPr>
            <w:t>31</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"_Toc80863178" </w:instrText>
          </w:r>
          <w:r>
            <w:rPr>
              <w:color w:val="auto"/>
              <w:sz w:val="24"/>
              <w:szCs w:val="28"/>
            </w:rPr>
            <w:fldChar w:fldCharType="separate"/>
          </w:r>
          <w:r>
            <w:rPr>
              <w:rStyle w:val="15"/>
              <w:rFonts w:ascii="Times New Roman" w:hAnsi="Times New Roman" w:eastAsia="楷体"/>
              <w:color w:val="auto"/>
              <w:sz w:val="24"/>
              <w:szCs w:val="28"/>
            </w:rPr>
            <w:t>（二）强化条件保障</w:t>
          </w:r>
          <w:r>
            <w:rPr>
              <w:color w:val="auto"/>
              <w:sz w:val="24"/>
              <w:szCs w:val="28"/>
            </w:rPr>
            <w:tab/>
          </w:r>
          <w:r>
            <w:rPr>
              <w:color w:val="auto"/>
              <w:sz w:val="24"/>
              <w:szCs w:val="28"/>
            </w:rPr>
            <w:fldChar w:fldCharType="begin"/>
          </w:r>
          <w:r>
            <w:rPr>
              <w:color w:val="auto"/>
              <w:sz w:val="24"/>
              <w:szCs w:val="28"/>
            </w:rPr>
            <w:instrText xml:space="preserve"> PAGEREF _Toc80863178 \h </w:instrText>
          </w:r>
          <w:r>
            <w:rPr>
              <w:color w:val="auto"/>
              <w:sz w:val="24"/>
              <w:szCs w:val="28"/>
            </w:rPr>
            <w:fldChar w:fldCharType="separate"/>
          </w:r>
          <w:r>
            <w:rPr>
              <w:color w:val="auto"/>
              <w:sz w:val="24"/>
              <w:szCs w:val="28"/>
            </w:rPr>
            <w:t>31</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"_Toc80863179" </w:instrText>
          </w:r>
          <w:r>
            <w:rPr>
              <w:color w:val="auto"/>
              <w:sz w:val="24"/>
              <w:szCs w:val="28"/>
            </w:rPr>
            <w:fldChar w:fldCharType="separate"/>
          </w:r>
          <w:r>
            <w:rPr>
              <w:rStyle w:val="15"/>
              <w:rFonts w:ascii="Times New Roman" w:hAnsi="Times New Roman" w:eastAsia="楷体"/>
              <w:color w:val="auto"/>
              <w:sz w:val="24"/>
              <w:szCs w:val="28"/>
            </w:rPr>
            <w:t>（三）强化普及教育</w:t>
          </w:r>
          <w:r>
            <w:rPr>
              <w:color w:val="auto"/>
              <w:sz w:val="24"/>
              <w:szCs w:val="28"/>
            </w:rPr>
            <w:tab/>
          </w:r>
          <w:r>
            <w:rPr>
              <w:color w:val="auto"/>
              <w:sz w:val="24"/>
              <w:szCs w:val="28"/>
            </w:rPr>
            <w:fldChar w:fldCharType="begin"/>
          </w:r>
          <w:r>
            <w:rPr>
              <w:color w:val="auto"/>
              <w:sz w:val="24"/>
              <w:szCs w:val="28"/>
            </w:rPr>
            <w:instrText xml:space="preserve"> PAGEREF _Toc80863179 \h </w:instrText>
          </w:r>
          <w:r>
            <w:rPr>
              <w:color w:val="auto"/>
              <w:sz w:val="24"/>
              <w:szCs w:val="28"/>
            </w:rPr>
            <w:fldChar w:fldCharType="separate"/>
          </w:r>
          <w:r>
            <w:rPr>
              <w:color w:val="auto"/>
              <w:sz w:val="24"/>
              <w:szCs w:val="28"/>
            </w:rPr>
            <w:t>32</w:t>
          </w:r>
          <w:r>
            <w:rPr>
              <w:color w:val="auto"/>
              <w:sz w:val="24"/>
              <w:szCs w:val="28"/>
            </w:rPr>
            <w:fldChar w:fldCharType="end"/>
          </w:r>
          <w:r>
            <w:rPr>
              <w:color w:val="auto"/>
              <w:sz w:val="24"/>
              <w:szCs w:val="28"/>
            </w:rPr>
            <w:fldChar w:fldCharType="end"/>
          </w:r>
        </w:p>
        <w:p>
          <w:pPr>
            <w:pStyle w:val="10"/>
            <w:tabs>
              <w:tab w:val="right" w:leader="dot" w:pos="8296"/>
            </w:tabs>
            <w:rPr>
              <w:color w:val="auto"/>
              <w:sz w:val="24"/>
              <w:szCs w:val="28"/>
            </w:rPr>
          </w:pPr>
          <w:r>
            <w:rPr>
              <w:color w:val="auto"/>
              <w:sz w:val="24"/>
              <w:szCs w:val="28"/>
            </w:rPr>
            <w:fldChar w:fldCharType="begin"/>
          </w:r>
          <w:r>
            <w:rPr>
              <w:color w:val="auto"/>
              <w:sz w:val="24"/>
              <w:szCs w:val="28"/>
            </w:rPr>
            <w:instrText xml:space="preserve"> HYPERLINK \l "_Toc80863180" </w:instrText>
          </w:r>
          <w:r>
            <w:rPr>
              <w:color w:val="auto"/>
              <w:sz w:val="24"/>
              <w:szCs w:val="28"/>
            </w:rPr>
            <w:fldChar w:fldCharType="separate"/>
          </w:r>
          <w:r>
            <w:rPr>
              <w:rStyle w:val="15"/>
              <w:rFonts w:ascii="Times New Roman" w:hAnsi="Times New Roman" w:eastAsia="楷体"/>
              <w:color w:val="auto"/>
              <w:sz w:val="24"/>
              <w:szCs w:val="28"/>
            </w:rPr>
            <w:t>（四）强化考核评估</w:t>
          </w:r>
          <w:r>
            <w:rPr>
              <w:color w:val="auto"/>
              <w:sz w:val="24"/>
              <w:szCs w:val="28"/>
            </w:rPr>
            <w:tab/>
          </w:r>
          <w:r>
            <w:rPr>
              <w:color w:val="auto"/>
              <w:sz w:val="24"/>
              <w:szCs w:val="28"/>
            </w:rPr>
            <w:fldChar w:fldCharType="begin"/>
          </w:r>
          <w:r>
            <w:rPr>
              <w:color w:val="auto"/>
              <w:sz w:val="24"/>
              <w:szCs w:val="28"/>
            </w:rPr>
            <w:instrText xml:space="preserve"> PAGEREF _Toc80863180 \h </w:instrText>
          </w:r>
          <w:r>
            <w:rPr>
              <w:color w:val="auto"/>
              <w:sz w:val="24"/>
              <w:szCs w:val="28"/>
            </w:rPr>
            <w:fldChar w:fldCharType="separate"/>
          </w:r>
          <w:r>
            <w:rPr>
              <w:color w:val="auto"/>
              <w:sz w:val="24"/>
              <w:szCs w:val="28"/>
            </w:rPr>
            <w:t>32</w:t>
          </w:r>
          <w:r>
            <w:rPr>
              <w:color w:val="auto"/>
              <w:sz w:val="24"/>
              <w:szCs w:val="28"/>
            </w:rPr>
            <w:fldChar w:fldCharType="end"/>
          </w:r>
          <w:r>
            <w:rPr>
              <w:color w:val="auto"/>
              <w:sz w:val="24"/>
              <w:szCs w:val="28"/>
            </w:rPr>
            <w:fldChar w:fldCharType="end"/>
          </w:r>
        </w:p>
        <w:p>
          <w:pPr>
            <w:widowControl/>
            <w:spacing w:line="580" w:lineRule="exact"/>
            <w:rPr>
              <w:rFonts w:ascii="Times New Roman" w:hAnsi="Times New Roman"/>
              <w:color w:val="auto"/>
            </w:rPr>
          </w:pPr>
          <w:r>
            <w:rPr>
              <w:rFonts w:ascii="Times New Roman" w:hAnsi="Times New Roman"/>
              <w:bCs/>
              <w:color w:val="auto"/>
              <w:sz w:val="24"/>
              <w:szCs w:val="28"/>
              <w:lang w:val="zh-CN"/>
            </w:rPr>
            <w:fldChar w:fldCharType="end"/>
          </w:r>
        </w:p>
      </w:sdtContent>
    </w:sdt>
    <w:p>
      <w:pPr>
        <w:widowControl/>
        <w:ind w:firstLine="640" w:firstLineChars="200"/>
        <w:rPr>
          <w:rFonts w:ascii="Times New Roman" w:hAnsi="Times New Roman" w:eastAsia="仿宋"/>
          <w:color w:val="auto"/>
          <w:sz w:val="32"/>
          <w:szCs w:val="32"/>
        </w:rPr>
        <w:sectPr>
          <w:footerReference r:id="rId3" w:type="default"/>
          <w:pgSz w:w="11906" w:h="16838"/>
          <w:pgMar w:top="1440" w:right="1800" w:bottom="1440" w:left="1800" w:header="851" w:footer="992" w:gutter="0"/>
          <w:pgNumType w:fmt="upperRoman" w:start="1"/>
          <w:cols w:space="425" w:num="1"/>
          <w:docGrid w:type="lines" w:linePitch="312" w:charSpace="0"/>
        </w:sectPr>
      </w:pPr>
    </w:p>
    <w:p>
      <w:pPr>
        <w:widowControl/>
        <w:spacing w:line="580" w:lineRule="exact"/>
        <w:jc w:val="center"/>
        <w:rPr>
          <w:rFonts w:ascii="Times New Roman" w:hAnsi="Times New Roman" w:eastAsia="方正小标宋简体" w:cs="方正小标宋简体"/>
          <w:b/>
          <w:bCs/>
          <w:color w:val="auto"/>
          <w:sz w:val="44"/>
          <w:szCs w:val="44"/>
        </w:rPr>
      </w:pPr>
      <w:r>
        <w:rPr>
          <w:rFonts w:hint="eastAsia" w:ascii="Times New Roman" w:hAnsi="Times New Roman" w:eastAsia="方正小标宋简体" w:cs="方正小标宋简体"/>
          <w:b/>
          <w:bCs/>
          <w:color w:val="auto"/>
          <w:sz w:val="44"/>
          <w:szCs w:val="44"/>
        </w:rPr>
        <w:t>丽水市知识产权发展“十四五”规划</w:t>
      </w:r>
    </w:p>
    <w:p>
      <w:pPr>
        <w:pStyle w:val="2"/>
        <w:widowControl/>
        <w:spacing w:after="0" w:line="580" w:lineRule="exact"/>
        <w:jc w:val="center"/>
        <w:rPr>
          <w:rFonts w:eastAsia="方正小标宋简体" w:cs="方正小标宋简体"/>
          <w:color w:val="auto"/>
          <w:sz w:val="44"/>
          <w:szCs w:val="44"/>
        </w:rPr>
      </w:pPr>
      <w:r>
        <w:rPr>
          <w:rFonts w:hint="eastAsia" w:eastAsia="方正小标宋简体" w:cs="方正小标宋简体"/>
          <w:b/>
          <w:bCs/>
          <w:color w:val="auto"/>
          <w:sz w:val="44"/>
          <w:szCs w:val="44"/>
        </w:rPr>
        <w:t>（2021—2025）</w:t>
      </w:r>
    </w:p>
    <w:p>
      <w:pPr>
        <w:widowControl/>
        <w:spacing w:line="580" w:lineRule="exact"/>
        <w:ind w:firstLine="640" w:firstLineChars="200"/>
        <w:rPr>
          <w:rFonts w:ascii="Times New Roman" w:hAnsi="Times New Roman" w:eastAsia="仿宋"/>
          <w:color w:val="auto"/>
          <w:sz w:val="32"/>
          <w:szCs w:val="32"/>
        </w:rPr>
      </w:pPr>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为忠实践行“绿水青山就是金山银山”理念、奋力打造“高水平建设和高质量发展重要窗口”，加快建设特色鲜明的高水平知识产权示范市，根据《浙江省知识产权发展“十四五”规划》和《丽水市国民经济和社会发展第十四个五年规划和二〇三五年远景目标纲要》的总体要求，特制定本规划。</w:t>
      </w:r>
    </w:p>
    <w:p>
      <w:pPr>
        <w:pStyle w:val="3"/>
        <w:widowControl/>
        <w:spacing w:before="0" w:after="0" w:line="580" w:lineRule="exact"/>
        <w:ind w:firstLine="640" w:firstLineChars="200"/>
        <w:rPr>
          <w:rFonts w:ascii="Times New Roman" w:hAnsi="Times New Roman" w:eastAsia="黑体"/>
          <w:b w:val="0"/>
          <w:bCs w:val="0"/>
          <w:color w:val="auto"/>
          <w:sz w:val="32"/>
          <w:szCs w:val="32"/>
        </w:rPr>
      </w:pPr>
      <w:bookmarkStart w:id="0" w:name="_Toc18644"/>
      <w:bookmarkStart w:id="1" w:name="_Toc80863145"/>
      <w:r>
        <w:rPr>
          <w:rFonts w:hint="eastAsia" w:ascii="Times New Roman" w:hAnsi="Times New Roman" w:eastAsia="黑体"/>
          <w:b w:val="0"/>
          <w:bCs w:val="0"/>
          <w:color w:val="auto"/>
          <w:sz w:val="32"/>
          <w:szCs w:val="32"/>
        </w:rPr>
        <w:t>一、坚定“绿水青山就是金山银山”发展道路，奋力打造“高水平建设和高质量发展重要窗口”，开启高水平知识产权示范市建设新征程</w:t>
      </w:r>
      <w:bookmarkEnd w:id="0"/>
      <w:bookmarkEnd w:id="1"/>
    </w:p>
    <w:p>
      <w:pPr>
        <w:pStyle w:val="4"/>
        <w:widowControl/>
        <w:spacing w:before="0" w:after="0" w:line="580" w:lineRule="exact"/>
        <w:ind w:firstLine="643" w:firstLineChars="200"/>
        <w:rPr>
          <w:rFonts w:ascii="Times New Roman" w:hAnsi="Times New Roman" w:eastAsia="仿宋" w:cstheme="minorBidi"/>
          <w:b w:val="0"/>
          <w:bCs w:val="0"/>
          <w:color w:val="auto"/>
        </w:rPr>
      </w:pPr>
      <w:bookmarkStart w:id="2" w:name="_Toc11676"/>
      <w:bookmarkStart w:id="3" w:name="_Toc80863146"/>
      <w:r>
        <w:rPr>
          <w:rFonts w:hint="eastAsia" w:ascii="Times New Roman" w:hAnsi="Times New Roman" w:eastAsia="楷体"/>
          <w:color w:val="auto"/>
        </w:rPr>
        <w:t>（一）“十三五”时期知识产权事业取得显著成效</w:t>
      </w:r>
      <w:bookmarkEnd w:id="2"/>
      <w:bookmarkEnd w:id="3"/>
      <w:r>
        <w:rPr>
          <w:rFonts w:ascii="Times New Roman" w:hAnsi="Times New Roman" w:eastAsia="仿宋" w:cstheme="minorBidi"/>
          <w:b w:val="0"/>
          <w:bCs w:val="0"/>
          <w:color w:val="auto"/>
        </w:rPr>
        <w:tab/>
      </w:r>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十三五”期间，丽水市坚决贯彻省委省政府关于强化知识产权保护、加快知识产权强省建设的决策部署，在市委、市政府的坚强领导下，聚焦“生态丽水”建设，知识产权政策体系更加完善、创造量质大幅提升、运用效能更加显著、保护力度明显加强、管理服务支撑更加有力，知识产权事业取得明显进步。</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——知识产权政策体系更加完备。</w:t>
      </w:r>
      <w:r>
        <w:rPr>
          <w:rFonts w:hint="eastAsia" w:ascii="Times New Roman" w:hAnsi="Times New Roman" w:eastAsia="仿宋"/>
          <w:color w:val="auto"/>
          <w:sz w:val="32"/>
          <w:szCs w:val="32"/>
        </w:rPr>
        <w:t>制订出台了《丽水市创建国家知识产权试点城市工作方案》《丽水市“浙江制造”品牌建设三年行动计划</w:t>
      </w:r>
      <w:bookmarkStart w:id="4" w:name="_Hlk69548300"/>
      <w:r>
        <w:rPr>
          <w:rFonts w:hint="eastAsia" w:ascii="Times New Roman" w:hAnsi="Times New Roman" w:eastAsia="仿宋"/>
          <w:color w:val="auto"/>
          <w:sz w:val="32"/>
          <w:szCs w:val="32"/>
        </w:rPr>
        <w:t>（</w:t>
      </w:r>
      <w:r>
        <w:rPr>
          <w:rFonts w:ascii="Times New Roman" w:hAnsi="Times New Roman" w:eastAsia="仿宋"/>
          <w:color w:val="auto"/>
          <w:sz w:val="32"/>
          <w:szCs w:val="32"/>
        </w:rPr>
        <w:t>2016-2018）</w:t>
      </w:r>
      <w:bookmarkEnd w:id="4"/>
      <w:r>
        <w:rPr>
          <w:rFonts w:ascii="Times New Roman" w:hAnsi="Times New Roman" w:eastAsia="仿宋"/>
          <w:color w:val="auto"/>
          <w:sz w:val="32"/>
          <w:szCs w:val="32"/>
        </w:rPr>
        <w:t>》《丽水市</w:t>
      </w:r>
      <w:r>
        <w:rPr>
          <w:rFonts w:hint="eastAsia" w:ascii="Times New Roman" w:hAnsi="Times New Roman" w:eastAsia="仿宋"/>
          <w:color w:val="auto"/>
          <w:sz w:val="32"/>
          <w:szCs w:val="32"/>
        </w:rPr>
        <w:t>知识产权工作三年行动计划（</w:t>
      </w:r>
      <w:r>
        <w:rPr>
          <w:rFonts w:ascii="Times New Roman" w:hAnsi="Times New Roman" w:eastAsia="仿宋"/>
          <w:color w:val="auto"/>
          <w:sz w:val="32"/>
          <w:szCs w:val="32"/>
        </w:rPr>
        <w:t>20</w:t>
      </w:r>
      <w:r>
        <w:rPr>
          <w:rFonts w:hint="eastAsia" w:ascii="Times New Roman" w:hAnsi="Times New Roman" w:eastAsia="仿宋"/>
          <w:color w:val="auto"/>
          <w:sz w:val="32"/>
          <w:szCs w:val="32"/>
        </w:rPr>
        <w:t>20</w:t>
      </w:r>
      <w:r>
        <w:rPr>
          <w:rFonts w:ascii="Times New Roman" w:hAnsi="Times New Roman" w:eastAsia="仿宋"/>
          <w:color w:val="auto"/>
          <w:sz w:val="32"/>
          <w:szCs w:val="32"/>
        </w:rPr>
        <w:t>-20</w:t>
      </w:r>
      <w:r>
        <w:rPr>
          <w:rFonts w:hint="eastAsia" w:ascii="Times New Roman" w:hAnsi="Times New Roman" w:eastAsia="仿宋"/>
          <w:color w:val="auto"/>
          <w:sz w:val="32"/>
          <w:szCs w:val="32"/>
        </w:rPr>
        <w:t>22</w:t>
      </w:r>
      <w:r>
        <w:rPr>
          <w:rFonts w:ascii="Times New Roman" w:hAnsi="Times New Roman" w:eastAsia="仿宋"/>
          <w:color w:val="auto"/>
          <w:sz w:val="32"/>
          <w:szCs w:val="32"/>
        </w:rPr>
        <w:t>）》《推进科技创新引领高质量绿色发展的二十六条意见》《关于深入实施商标品牌战略的意见》《“丽水山耕”品牌建设实施方案（2016-2020年）》《关于加快推进丽水市知识产权质押融资工作的意见》等一系列政策文件，知识产权政策体系更加完备</w:t>
      </w:r>
      <w:r>
        <w:rPr>
          <w:rFonts w:hint="eastAsia" w:ascii="Times New Roman" w:hAnsi="Times New Roman" w:eastAsia="仿宋"/>
          <w:color w:val="auto"/>
          <w:sz w:val="32"/>
          <w:szCs w:val="32"/>
        </w:rPr>
        <w:t>。</w:t>
      </w:r>
      <w:r>
        <w:rPr>
          <w:rFonts w:ascii="Times New Roman" w:hAnsi="Times New Roman" w:eastAsia="仿宋"/>
          <w:color w:val="auto"/>
          <w:sz w:val="32"/>
          <w:szCs w:val="32"/>
        </w:rPr>
        <w:t>强化政策引导，加大扶持力度，将有效发明专利、PCT申请</w:t>
      </w:r>
      <w:r>
        <w:rPr>
          <w:rFonts w:hint="eastAsia" w:ascii="Times New Roman" w:hAnsi="Times New Roman" w:eastAsia="仿宋"/>
          <w:color w:val="auto"/>
          <w:sz w:val="32"/>
          <w:szCs w:val="32"/>
        </w:rPr>
        <w:t>、专利奖、国家知识产权示范（优势）企业、知识产权质押融资等指标列入知识产权试点城市建设方案，示范创强效果明显。在全国率先提出“轻型知识产权”主题，高质量通过国家知识产权试点城市验收，龙泉市成功列入国家传统知识知识产权保护试点县，全市各县（市、区）均已列入省区域知识产权示范（创建）名单，省级示范创建工作实现全覆盖。</w:t>
      </w:r>
    </w:p>
    <w:p>
      <w:pPr>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——知识产权创造量质大幅提升。</w:t>
      </w:r>
      <w:r>
        <w:rPr>
          <w:rFonts w:hint="eastAsia" w:ascii="Times New Roman" w:hAnsi="Times New Roman" w:eastAsia="仿宋"/>
          <w:color w:val="auto"/>
          <w:sz w:val="32"/>
          <w:szCs w:val="32"/>
        </w:rPr>
        <w:t>“十三五”期间，全市专利申请和授权总量分别为</w:t>
      </w:r>
      <w:r>
        <w:rPr>
          <w:rFonts w:ascii="Times New Roman" w:hAnsi="Times New Roman" w:eastAsia="仿宋"/>
          <w:color w:val="auto"/>
          <w:sz w:val="32"/>
          <w:szCs w:val="32"/>
        </w:rPr>
        <w:t>45244件和35721件，分别比“十二五”</w:t>
      </w:r>
      <w:r>
        <w:rPr>
          <w:rFonts w:hint="eastAsia" w:ascii="Times New Roman" w:hAnsi="Times New Roman" w:eastAsia="仿宋"/>
          <w:color w:val="auto"/>
          <w:sz w:val="32"/>
          <w:szCs w:val="32"/>
        </w:rPr>
        <w:t>期间</w:t>
      </w:r>
      <w:r>
        <w:rPr>
          <w:rFonts w:ascii="Times New Roman" w:hAnsi="Times New Roman" w:eastAsia="仿宋"/>
          <w:color w:val="auto"/>
          <w:sz w:val="32"/>
          <w:szCs w:val="32"/>
        </w:rPr>
        <w:t>提高了92.23%和103.50%；每万人有效发明专利拥有量实现翻番</w:t>
      </w:r>
      <w:r>
        <w:rPr>
          <w:rFonts w:hint="eastAsia" w:ascii="Times New Roman" w:hAnsi="Times New Roman" w:eastAsia="仿宋"/>
          <w:color w:val="auto"/>
          <w:sz w:val="32"/>
          <w:szCs w:val="32"/>
        </w:rPr>
        <w:t>，</w:t>
      </w:r>
      <w:r>
        <w:rPr>
          <w:rFonts w:ascii="Times New Roman" w:hAnsi="Times New Roman" w:eastAsia="仿宋"/>
          <w:color w:val="auto"/>
          <w:sz w:val="32"/>
          <w:szCs w:val="32"/>
        </w:rPr>
        <w:t>从2015年的3.44件提高到2020年的8.95件；国际专利PCT申请</w:t>
      </w:r>
      <w:r>
        <w:rPr>
          <w:rFonts w:hint="eastAsia" w:ascii="Times New Roman" w:hAnsi="Times New Roman" w:eastAsia="仿宋"/>
          <w:color w:val="auto"/>
          <w:sz w:val="32"/>
          <w:szCs w:val="32"/>
        </w:rPr>
        <w:t>总量</w:t>
      </w:r>
      <w:r>
        <w:rPr>
          <w:rFonts w:ascii="Times New Roman" w:hAnsi="Times New Roman" w:eastAsia="仿宋"/>
          <w:color w:val="auto"/>
          <w:sz w:val="32"/>
          <w:szCs w:val="32"/>
        </w:rPr>
        <w:t>为82件，</w:t>
      </w:r>
      <w:r>
        <w:rPr>
          <w:rFonts w:hint="eastAsia" w:ascii="Times New Roman" w:hAnsi="Times New Roman" w:eastAsia="仿宋"/>
          <w:color w:val="auto"/>
          <w:sz w:val="32"/>
          <w:szCs w:val="32"/>
        </w:rPr>
        <w:t>是</w:t>
      </w:r>
      <w:r>
        <w:rPr>
          <w:rFonts w:ascii="Times New Roman" w:hAnsi="Times New Roman" w:eastAsia="仿宋"/>
          <w:color w:val="auto"/>
          <w:sz w:val="32"/>
          <w:szCs w:val="32"/>
        </w:rPr>
        <w:t>“十二五”</w:t>
      </w:r>
      <w:r>
        <w:rPr>
          <w:rFonts w:hint="eastAsia" w:ascii="Times New Roman" w:hAnsi="Times New Roman" w:eastAsia="仿宋"/>
          <w:color w:val="auto"/>
          <w:sz w:val="32"/>
          <w:szCs w:val="32"/>
        </w:rPr>
        <w:t>期间的</w:t>
      </w:r>
      <w:r>
        <w:rPr>
          <w:rFonts w:ascii="Times New Roman" w:hAnsi="Times New Roman" w:eastAsia="仿宋"/>
          <w:color w:val="auto"/>
          <w:sz w:val="32"/>
          <w:szCs w:val="32"/>
        </w:rPr>
        <w:t>5.5</w:t>
      </w:r>
      <w:r>
        <w:rPr>
          <w:rFonts w:hint="eastAsia" w:ascii="Times New Roman" w:hAnsi="Times New Roman" w:eastAsia="仿宋"/>
          <w:color w:val="auto"/>
          <w:sz w:val="32"/>
          <w:szCs w:val="32"/>
        </w:rPr>
        <w:t>倍</w:t>
      </w:r>
      <w:r>
        <w:rPr>
          <w:rFonts w:ascii="Times New Roman" w:hAnsi="Times New Roman" w:eastAsia="仿宋"/>
          <w:color w:val="auto"/>
          <w:sz w:val="32"/>
          <w:szCs w:val="32"/>
        </w:rPr>
        <w:t>。</w:t>
      </w:r>
      <w:r>
        <w:rPr>
          <w:rFonts w:hint="eastAsia" w:ascii="Times New Roman" w:hAnsi="Times New Roman" w:eastAsia="仿宋"/>
          <w:color w:val="auto"/>
          <w:sz w:val="32"/>
          <w:szCs w:val="32"/>
        </w:rPr>
        <w:t>商标申请和注册总量分别为</w:t>
      </w:r>
      <w:r>
        <w:rPr>
          <w:rFonts w:ascii="Times New Roman" w:hAnsi="Times New Roman" w:eastAsia="仿宋"/>
          <w:color w:val="auto"/>
          <w:sz w:val="32"/>
          <w:szCs w:val="32"/>
        </w:rPr>
        <w:t>66903件</w:t>
      </w:r>
      <w:r>
        <w:rPr>
          <w:rFonts w:hint="eastAsia" w:ascii="Times New Roman" w:hAnsi="Times New Roman" w:eastAsia="仿宋"/>
          <w:color w:val="auto"/>
          <w:sz w:val="32"/>
          <w:szCs w:val="32"/>
        </w:rPr>
        <w:t>和</w:t>
      </w:r>
      <w:r>
        <w:rPr>
          <w:rFonts w:ascii="Times New Roman" w:hAnsi="Times New Roman" w:eastAsia="仿宋"/>
          <w:color w:val="auto"/>
          <w:sz w:val="32"/>
          <w:szCs w:val="32"/>
        </w:rPr>
        <w:t>43526件，</w:t>
      </w:r>
      <w:r>
        <w:rPr>
          <w:rFonts w:hint="eastAsia" w:ascii="Times New Roman" w:hAnsi="Times New Roman" w:eastAsia="仿宋"/>
          <w:color w:val="auto"/>
          <w:sz w:val="32"/>
          <w:szCs w:val="32"/>
        </w:rPr>
        <w:t>分别比“十二五”期间提高了</w:t>
      </w:r>
      <w:r>
        <w:rPr>
          <w:rFonts w:ascii="Times New Roman" w:hAnsi="Times New Roman" w:eastAsia="仿宋"/>
          <w:color w:val="auto"/>
          <w:sz w:val="32"/>
          <w:szCs w:val="32"/>
        </w:rPr>
        <w:t>220.34%、179.53%</w:t>
      </w:r>
      <w:r>
        <w:rPr>
          <w:rFonts w:hint="eastAsia" w:ascii="Times New Roman" w:hAnsi="Times New Roman" w:eastAsia="仿宋"/>
          <w:color w:val="auto"/>
          <w:sz w:val="32"/>
          <w:szCs w:val="32"/>
        </w:rPr>
        <w:t>，截止</w:t>
      </w:r>
      <w:r>
        <w:rPr>
          <w:rFonts w:ascii="Times New Roman" w:hAnsi="Times New Roman" w:eastAsia="仿宋"/>
          <w:color w:val="auto"/>
          <w:sz w:val="32"/>
          <w:szCs w:val="32"/>
        </w:rPr>
        <w:t>2020</w:t>
      </w:r>
      <w:r>
        <w:rPr>
          <w:rFonts w:hint="eastAsia" w:ascii="Times New Roman" w:hAnsi="Times New Roman" w:eastAsia="仿宋"/>
          <w:color w:val="auto"/>
          <w:sz w:val="32"/>
          <w:szCs w:val="32"/>
        </w:rPr>
        <w:t>年有效注册商标数量比</w:t>
      </w:r>
      <w:r>
        <w:rPr>
          <w:rFonts w:ascii="Times New Roman" w:hAnsi="Times New Roman" w:eastAsia="仿宋"/>
          <w:color w:val="auto"/>
          <w:sz w:val="32"/>
          <w:szCs w:val="32"/>
        </w:rPr>
        <w:t>2015</w:t>
      </w:r>
      <w:r>
        <w:rPr>
          <w:rFonts w:hint="eastAsia" w:ascii="Times New Roman" w:hAnsi="Times New Roman" w:eastAsia="仿宋"/>
          <w:color w:val="auto"/>
          <w:sz w:val="32"/>
          <w:szCs w:val="32"/>
        </w:rPr>
        <w:t>年增长了</w:t>
      </w:r>
      <w:r>
        <w:rPr>
          <w:rFonts w:ascii="Times New Roman" w:hAnsi="Times New Roman" w:eastAsia="仿宋"/>
          <w:color w:val="auto"/>
          <w:sz w:val="32"/>
          <w:szCs w:val="32"/>
        </w:rPr>
        <w:t>144.54%</w:t>
      </w:r>
      <w:r>
        <w:rPr>
          <w:rFonts w:hint="eastAsia" w:ascii="Times New Roman" w:hAnsi="Times New Roman" w:eastAsia="仿宋"/>
          <w:color w:val="auto"/>
          <w:sz w:val="32"/>
          <w:szCs w:val="32"/>
        </w:rPr>
        <w:t>，达到</w:t>
      </w:r>
      <w:r>
        <w:rPr>
          <w:rFonts w:ascii="Times New Roman" w:hAnsi="Times New Roman" w:eastAsia="仿宋"/>
          <w:color w:val="auto"/>
          <w:sz w:val="32"/>
          <w:szCs w:val="32"/>
        </w:rPr>
        <w:t>62607</w:t>
      </w:r>
      <w:r>
        <w:rPr>
          <w:rFonts w:hint="eastAsia" w:ascii="Times New Roman" w:hAnsi="Times New Roman" w:eastAsia="仿宋"/>
          <w:color w:val="auto"/>
          <w:sz w:val="32"/>
          <w:szCs w:val="32"/>
        </w:rPr>
        <w:t>件；地理标志拥有量达到</w:t>
      </w:r>
      <w:r>
        <w:rPr>
          <w:rFonts w:hint="default" w:ascii="Times New Roman" w:hAnsi="Times New Roman" w:eastAsia="仿宋"/>
          <w:color w:val="auto"/>
          <w:sz w:val="32"/>
          <w:szCs w:val="32"/>
        </w:rPr>
        <w:t>44</w:t>
      </w:r>
      <w:r>
        <w:rPr>
          <w:rFonts w:hint="eastAsia" w:ascii="Times New Roman" w:hAnsi="Times New Roman" w:eastAsia="仿宋"/>
          <w:color w:val="auto"/>
          <w:sz w:val="32"/>
          <w:szCs w:val="32"/>
        </w:rPr>
        <w:t>件。</w:t>
      </w:r>
      <w:r>
        <w:rPr>
          <w:rFonts w:ascii="Times New Roman" w:hAnsi="Times New Roman" w:eastAsia="仿宋"/>
          <w:color w:val="auto"/>
          <w:sz w:val="32"/>
          <w:szCs w:val="32"/>
        </w:rPr>
        <w:t>“丽水山耕”</w:t>
      </w:r>
      <w:r>
        <w:rPr>
          <w:rFonts w:hint="eastAsia" w:ascii="Times New Roman" w:hAnsi="Times New Roman" w:eastAsia="仿宋"/>
          <w:color w:val="auto"/>
          <w:sz w:val="32"/>
          <w:szCs w:val="32"/>
        </w:rPr>
        <w:t>区域</w:t>
      </w:r>
      <w:r>
        <w:rPr>
          <w:rFonts w:ascii="Times New Roman" w:hAnsi="Times New Roman" w:eastAsia="仿宋"/>
          <w:color w:val="auto"/>
          <w:sz w:val="32"/>
          <w:szCs w:val="32"/>
        </w:rPr>
        <w:t>品牌创建特色明显，成效显著，“丽水山耕”集体商标已在16个类别注册成功，母子商标品牌运作达到205个。新增国家知识产权示范企业1家，国家知识产权优势企业5家，知识产权贯标企业99家；</w:t>
      </w:r>
      <w:r>
        <w:rPr>
          <w:rFonts w:hint="eastAsia" w:ascii="Times New Roman" w:hAnsi="Times New Roman" w:eastAsia="仿宋"/>
          <w:color w:val="auto"/>
          <w:sz w:val="32"/>
          <w:szCs w:val="32"/>
        </w:rPr>
        <w:t>通过知识产权质押融资20.04</w:t>
      </w:r>
      <w:r>
        <w:rPr>
          <w:rFonts w:ascii="Times New Roman" w:hAnsi="Times New Roman" w:eastAsia="仿宋"/>
          <w:color w:val="auto"/>
          <w:sz w:val="32"/>
          <w:szCs w:val="32"/>
        </w:rPr>
        <w:t>亿元，出质专利</w:t>
      </w:r>
      <w:r>
        <w:rPr>
          <w:rFonts w:hint="eastAsia" w:ascii="Times New Roman" w:hAnsi="Times New Roman" w:eastAsia="仿宋"/>
          <w:color w:val="auto"/>
          <w:sz w:val="32"/>
          <w:szCs w:val="32"/>
        </w:rPr>
        <w:t>及商标</w:t>
      </w:r>
      <w:r>
        <w:rPr>
          <w:rFonts w:ascii="Times New Roman" w:hAnsi="Times New Roman" w:eastAsia="仿宋"/>
          <w:color w:val="auto"/>
          <w:sz w:val="32"/>
          <w:szCs w:val="32"/>
        </w:rPr>
        <w:t>545</w:t>
      </w:r>
      <w:r>
        <w:rPr>
          <w:rFonts w:hint="eastAsia" w:ascii="Times New Roman" w:hAnsi="Times New Roman" w:eastAsia="仿宋"/>
          <w:color w:val="auto"/>
          <w:sz w:val="32"/>
          <w:szCs w:val="32"/>
        </w:rPr>
        <w:t>件，</w:t>
      </w:r>
      <w:r>
        <w:rPr>
          <w:rFonts w:ascii="Times New Roman" w:hAnsi="Times New Roman" w:eastAsia="仿宋"/>
          <w:color w:val="auto"/>
          <w:sz w:val="32"/>
          <w:szCs w:val="32"/>
        </w:rPr>
        <w:t>惠及107家企业。2020</w:t>
      </w:r>
      <w:r>
        <w:rPr>
          <w:rFonts w:hint="eastAsia" w:ascii="Times New Roman" w:hAnsi="Times New Roman" w:eastAsia="仿宋"/>
          <w:color w:val="auto"/>
          <w:sz w:val="32"/>
          <w:szCs w:val="32"/>
          <w:lang w:eastAsia="zh-Hans"/>
        </w:rPr>
        <w:t>年版权登记</w:t>
      </w:r>
      <w:r>
        <w:rPr>
          <w:rFonts w:ascii="Times New Roman" w:hAnsi="Times New Roman" w:eastAsia="仿宋"/>
          <w:color w:val="auto"/>
          <w:sz w:val="32"/>
          <w:szCs w:val="32"/>
          <w:lang w:eastAsia="zh-Hans"/>
        </w:rPr>
        <w:t>76</w:t>
      </w:r>
      <w:r>
        <w:rPr>
          <w:rFonts w:hint="eastAsia" w:ascii="Times New Roman" w:hAnsi="Times New Roman" w:eastAsia="仿宋"/>
          <w:color w:val="auto"/>
          <w:sz w:val="32"/>
          <w:szCs w:val="32"/>
          <w:lang w:eastAsia="zh-Hans"/>
        </w:rPr>
        <w:t>件</w:t>
      </w:r>
      <w:r>
        <w:rPr>
          <w:rFonts w:ascii="Times New Roman" w:hAnsi="Times New Roman" w:eastAsia="仿宋"/>
          <w:color w:val="auto"/>
          <w:sz w:val="32"/>
          <w:szCs w:val="32"/>
          <w:lang w:eastAsia="zh-Hans"/>
        </w:rPr>
        <w:t>，</w:t>
      </w:r>
      <w:r>
        <w:rPr>
          <w:rFonts w:hint="eastAsia" w:ascii="Times New Roman" w:hAnsi="Times New Roman" w:eastAsia="仿宋"/>
          <w:color w:val="auto"/>
          <w:sz w:val="32"/>
          <w:szCs w:val="32"/>
          <w:lang w:eastAsia="zh-Hans"/>
        </w:rPr>
        <w:t>比</w:t>
      </w:r>
      <w:r>
        <w:rPr>
          <w:rFonts w:ascii="Times New Roman" w:hAnsi="Times New Roman" w:eastAsia="仿宋"/>
          <w:color w:val="auto"/>
          <w:sz w:val="32"/>
          <w:szCs w:val="32"/>
          <w:lang w:eastAsia="zh-Hans"/>
        </w:rPr>
        <w:t>2019</w:t>
      </w:r>
      <w:r>
        <w:rPr>
          <w:rFonts w:hint="eastAsia" w:ascii="Times New Roman" w:hAnsi="Times New Roman" w:eastAsia="仿宋"/>
          <w:color w:val="auto"/>
          <w:sz w:val="32"/>
          <w:szCs w:val="32"/>
          <w:lang w:eastAsia="zh-Hans"/>
        </w:rPr>
        <w:t>年增长</w:t>
      </w:r>
      <w:r>
        <w:rPr>
          <w:rFonts w:ascii="Times New Roman" w:hAnsi="Times New Roman" w:eastAsia="仿宋"/>
          <w:color w:val="auto"/>
          <w:sz w:val="32"/>
          <w:szCs w:val="32"/>
          <w:lang w:eastAsia="zh-Hans"/>
        </w:rPr>
        <w:t>90%。</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——知识产权运用水平显著提高。</w:t>
      </w:r>
      <w:r>
        <w:rPr>
          <w:rFonts w:hint="eastAsia" w:ascii="Times New Roman" w:hAnsi="Times New Roman" w:eastAsia="仿宋"/>
          <w:color w:val="auto"/>
          <w:sz w:val="32"/>
          <w:szCs w:val="32"/>
        </w:rPr>
        <w:t>“十三五”期间，丽水全方位深度接轨长三角，积极对接上海市知识产权交易中心、国家知识产权国际运营平台（上海），构建长效协作机制。设立国家知识产权局知识产权质押登记丽水窗口，设立国家知识产权局商标业务丽水受理窗口，受理商标注册、变更及商标权、专利权质押等25项业务，为商标注册和知识产权质押登记提供便利化服务。扩大知识产权金融服务范围，促进专利权、商标权质押担保提质扩面。积极申报省级知识产权分析评议和专利导航项目，加快推动知识产权与产业发展的深度融合。获省级知识产权预警分析项目</w:t>
      </w:r>
      <w:r>
        <w:rPr>
          <w:rFonts w:ascii="Times New Roman" w:hAnsi="Times New Roman" w:eastAsia="仿宋"/>
          <w:color w:val="auto"/>
          <w:sz w:val="32"/>
          <w:szCs w:val="32"/>
        </w:rPr>
        <w:t>1项、省级专利导航项目4项。中国专利奖和省专利奖均实现零的突破，分别获得中国专利优秀奖2项、浙江省专利优秀奖2项</w:t>
      </w:r>
      <w:r>
        <w:rPr>
          <w:rFonts w:hint="eastAsia" w:ascii="Times New Roman" w:hAnsi="Times New Roman" w:eastAsia="仿宋"/>
          <w:color w:val="auto"/>
          <w:sz w:val="32"/>
          <w:szCs w:val="32"/>
        </w:rPr>
        <w:t>。“丽水山耕”品牌涵盖了</w:t>
      </w:r>
      <w:r>
        <w:rPr>
          <w:rFonts w:ascii="Times New Roman" w:hAnsi="Times New Roman" w:eastAsia="仿宋"/>
          <w:color w:val="auto"/>
          <w:sz w:val="32"/>
          <w:szCs w:val="32"/>
        </w:rPr>
        <w:t>1122个合作基地，会员企业866家，培育品牌背书农产品1000余个，设计农产品包装600余个，形成了菌、茶、果、蔬、药、畜牧、油茶、笋竹和渔业等九大主导产业，</w:t>
      </w:r>
      <w:r>
        <w:rPr>
          <w:rFonts w:hint="eastAsia" w:ascii="Times New Roman" w:hAnsi="Times New Roman" w:eastAsia="仿宋"/>
          <w:color w:val="auto"/>
          <w:sz w:val="32"/>
          <w:szCs w:val="32"/>
        </w:rPr>
        <w:t>产品</w:t>
      </w:r>
      <w:r>
        <w:rPr>
          <w:rFonts w:ascii="Times New Roman" w:hAnsi="Times New Roman" w:eastAsia="仿宋"/>
          <w:color w:val="auto"/>
          <w:sz w:val="32"/>
          <w:szCs w:val="32"/>
        </w:rPr>
        <w:t>远销北京、上海、深圳等20余个省市。</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——知识产权保护体系持续完善。</w:t>
      </w:r>
      <w:r>
        <w:rPr>
          <w:rFonts w:hint="eastAsia" w:ascii="Times New Roman" w:hAnsi="Times New Roman" w:eastAsia="仿宋"/>
          <w:color w:val="auto"/>
          <w:sz w:val="32"/>
          <w:szCs w:val="32"/>
        </w:rPr>
        <w:t>“十三五”期间，丽水市全面实施知识产权民事、刑事、行政案件“三合一”审判，建立了丽水市公检法知识产权刑事司法保护联席会议制度，形成以司法为主导，“委托调解、诉调对接、司法审判”合一的知识产权纠纷处理新模式。推行专利行政执法简政放权，实现专利行政执法权完全下放，有力调动了县（市、区）的积极性。积极开展专利执法行动，调处专利侵权纠纷案件</w:t>
      </w:r>
      <w:r>
        <w:rPr>
          <w:rFonts w:ascii="Times New Roman" w:hAnsi="Times New Roman" w:eastAsia="仿宋"/>
          <w:color w:val="auto"/>
          <w:sz w:val="32"/>
          <w:szCs w:val="32"/>
        </w:rPr>
        <w:t>4322起、查处假冒专利</w:t>
      </w:r>
      <w:r>
        <w:rPr>
          <w:rFonts w:hint="eastAsia" w:ascii="Times New Roman" w:hAnsi="Times New Roman" w:eastAsia="仿宋"/>
          <w:color w:val="auto"/>
          <w:sz w:val="32"/>
          <w:szCs w:val="32"/>
        </w:rPr>
        <w:t>案件</w:t>
      </w:r>
      <w:r>
        <w:rPr>
          <w:rFonts w:ascii="Times New Roman" w:hAnsi="Times New Roman" w:eastAsia="仿宋"/>
          <w:color w:val="auto"/>
          <w:sz w:val="32"/>
          <w:szCs w:val="32"/>
        </w:rPr>
        <w:t>248起，分别比“十二五”提高了549.23%和104.96%。</w:t>
      </w:r>
      <w:r>
        <w:rPr>
          <w:rFonts w:hint="eastAsia" w:ascii="Times New Roman" w:hAnsi="Times New Roman" w:eastAsia="仿宋"/>
          <w:color w:val="auto"/>
          <w:sz w:val="32"/>
          <w:szCs w:val="32"/>
        </w:rPr>
        <w:t>开展商标执法行动，查处商标案件432件，罚款金额达567.9万元</w:t>
      </w:r>
      <w:r>
        <w:rPr>
          <w:rFonts w:ascii="Times New Roman" w:hAnsi="Times New Roman" w:eastAsia="仿宋"/>
          <w:color w:val="auto"/>
          <w:sz w:val="32"/>
          <w:szCs w:val="32"/>
        </w:rPr>
        <w:t>。推进软件正版</w:t>
      </w:r>
      <w:r>
        <w:rPr>
          <w:rFonts w:hint="eastAsia" w:ascii="Times New Roman" w:hAnsi="Times New Roman" w:eastAsia="仿宋"/>
          <w:color w:val="auto"/>
          <w:sz w:val="32"/>
          <w:szCs w:val="32"/>
        </w:rPr>
        <w:t>化</w:t>
      </w:r>
      <w:r>
        <w:rPr>
          <w:rFonts w:ascii="Times New Roman" w:hAnsi="Times New Roman" w:eastAsia="仿宋"/>
          <w:color w:val="auto"/>
          <w:sz w:val="32"/>
          <w:szCs w:val="32"/>
        </w:rPr>
        <w:t>工作</w:t>
      </w:r>
      <w:r>
        <w:rPr>
          <w:rFonts w:hint="eastAsia" w:ascii="Times New Roman" w:hAnsi="Times New Roman" w:eastAsia="仿宋"/>
          <w:color w:val="auto"/>
          <w:sz w:val="32"/>
          <w:szCs w:val="32"/>
        </w:rPr>
        <w:t>，“十三五”期间</w:t>
      </w:r>
      <w:r>
        <w:rPr>
          <w:rFonts w:ascii="Times New Roman" w:hAnsi="Times New Roman" w:eastAsia="仿宋"/>
          <w:color w:val="auto"/>
          <w:sz w:val="32"/>
          <w:szCs w:val="32"/>
        </w:rPr>
        <w:t>，全市136家正常营业的网吧全部安装了正版操作系统。丽水市中级人民法院在莲都、遂昌、龙泉</w:t>
      </w:r>
      <w:r>
        <w:rPr>
          <w:rFonts w:hint="eastAsia" w:ascii="Times New Roman" w:hAnsi="Times New Roman" w:eastAsia="仿宋"/>
          <w:color w:val="auto"/>
          <w:sz w:val="32"/>
          <w:szCs w:val="32"/>
        </w:rPr>
        <w:t>等地</w:t>
      </w:r>
      <w:r>
        <w:rPr>
          <w:rFonts w:ascii="Times New Roman" w:hAnsi="Times New Roman" w:eastAsia="仿宋"/>
          <w:color w:val="auto"/>
          <w:sz w:val="32"/>
          <w:szCs w:val="32"/>
        </w:rPr>
        <w:t>设立知识产权巡回审判点，设立丽水市知识产权特邀调解庭，成功调解知识产权纠纷115起。丽水市中级人民法院共受理知识产权案件1393件，</w:t>
      </w:r>
      <w:r>
        <w:rPr>
          <w:rFonts w:hint="eastAsia" w:ascii="Times New Roman" w:hAnsi="Times New Roman" w:eastAsia="仿宋"/>
          <w:color w:val="auto"/>
          <w:sz w:val="32"/>
          <w:szCs w:val="32"/>
          <w:lang w:eastAsia="zh-Hans"/>
        </w:rPr>
        <w:t>其中知识产权民事案件</w:t>
      </w:r>
      <w:r>
        <w:rPr>
          <w:rFonts w:ascii="Times New Roman" w:hAnsi="Times New Roman" w:eastAsia="仿宋"/>
          <w:color w:val="auto"/>
          <w:sz w:val="32"/>
          <w:szCs w:val="32"/>
          <w:lang w:eastAsia="zh-Hans"/>
        </w:rPr>
        <w:t>1385</w:t>
      </w:r>
      <w:r>
        <w:rPr>
          <w:rFonts w:hint="eastAsia" w:ascii="Times New Roman" w:hAnsi="Times New Roman" w:eastAsia="仿宋"/>
          <w:color w:val="auto"/>
          <w:sz w:val="32"/>
          <w:szCs w:val="32"/>
          <w:lang w:eastAsia="zh-Hans"/>
        </w:rPr>
        <w:t>件</w:t>
      </w:r>
      <w:r>
        <w:rPr>
          <w:rFonts w:ascii="Times New Roman" w:hAnsi="Times New Roman" w:eastAsia="仿宋"/>
          <w:color w:val="auto"/>
          <w:sz w:val="32"/>
          <w:szCs w:val="32"/>
          <w:lang w:eastAsia="zh-Hans"/>
        </w:rPr>
        <w:t>，</w:t>
      </w:r>
      <w:r>
        <w:rPr>
          <w:rFonts w:hint="eastAsia" w:ascii="Times New Roman" w:hAnsi="Times New Roman" w:eastAsia="仿宋"/>
          <w:color w:val="auto"/>
          <w:sz w:val="32"/>
          <w:szCs w:val="32"/>
          <w:lang w:eastAsia="zh-Hans"/>
        </w:rPr>
        <w:t>知识产权刑事案件</w:t>
      </w:r>
      <w:r>
        <w:rPr>
          <w:rFonts w:ascii="Times New Roman" w:hAnsi="Times New Roman" w:eastAsia="仿宋"/>
          <w:color w:val="auto"/>
          <w:sz w:val="32"/>
          <w:szCs w:val="32"/>
          <w:lang w:eastAsia="zh-Hans"/>
        </w:rPr>
        <w:t>6</w:t>
      </w:r>
      <w:r>
        <w:rPr>
          <w:rFonts w:hint="eastAsia" w:ascii="Times New Roman" w:hAnsi="Times New Roman" w:eastAsia="仿宋"/>
          <w:color w:val="auto"/>
          <w:sz w:val="32"/>
          <w:szCs w:val="32"/>
          <w:lang w:eastAsia="zh-Hans"/>
        </w:rPr>
        <w:t>件</w:t>
      </w:r>
      <w:r>
        <w:rPr>
          <w:rFonts w:ascii="Times New Roman" w:hAnsi="Times New Roman" w:eastAsia="仿宋"/>
          <w:color w:val="auto"/>
          <w:sz w:val="32"/>
          <w:szCs w:val="32"/>
          <w:lang w:eastAsia="zh-Hans"/>
        </w:rPr>
        <w:t>，</w:t>
      </w:r>
      <w:r>
        <w:rPr>
          <w:rFonts w:hint="eastAsia" w:ascii="Times New Roman" w:hAnsi="Times New Roman" w:eastAsia="仿宋"/>
          <w:color w:val="auto"/>
          <w:sz w:val="32"/>
          <w:szCs w:val="32"/>
          <w:lang w:eastAsia="zh-Hans"/>
        </w:rPr>
        <w:t>知识产权行政案件</w:t>
      </w:r>
      <w:r>
        <w:rPr>
          <w:rFonts w:ascii="Times New Roman" w:hAnsi="Times New Roman" w:eastAsia="仿宋"/>
          <w:color w:val="auto"/>
          <w:sz w:val="32"/>
          <w:szCs w:val="32"/>
          <w:lang w:eastAsia="zh-Hans"/>
        </w:rPr>
        <w:t>2</w:t>
      </w:r>
      <w:r>
        <w:rPr>
          <w:rFonts w:hint="eastAsia" w:ascii="Times New Roman" w:hAnsi="Times New Roman" w:eastAsia="仿宋"/>
          <w:color w:val="auto"/>
          <w:sz w:val="32"/>
          <w:szCs w:val="32"/>
          <w:lang w:eastAsia="zh-Hans"/>
        </w:rPr>
        <w:t>件</w:t>
      </w:r>
      <w:r>
        <w:rPr>
          <w:rFonts w:ascii="Times New Roman" w:hAnsi="Times New Roman" w:eastAsia="仿宋"/>
          <w:color w:val="auto"/>
          <w:sz w:val="32"/>
          <w:szCs w:val="32"/>
          <w:lang w:eastAsia="zh-Hans"/>
        </w:rPr>
        <w:t>，</w:t>
      </w:r>
      <w:r>
        <w:rPr>
          <w:rFonts w:ascii="Times New Roman" w:hAnsi="Times New Roman" w:eastAsia="仿宋"/>
          <w:color w:val="auto"/>
          <w:sz w:val="32"/>
          <w:szCs w:val="32"/>
        </w:rPr>
        <w:t>审结1376件，同期结案率达98.77%。加强知识产权维权援助能力建设</w:t>
      </w:r>
      <w:r>
        <w:rPr>
          <w:rFonts w:hint="eastAsia" w:ascii="Times New Roman" w:hAnsi="Times New Roman" w:eastAsia="仿宋"/>
          <w:color w:val="auto"/>
          <w:sz w:val="32"/>
          <w:szCs w:val="32"/>
        </w:rPr>
        <w:t>，</w:t>
      </w:r>
      <w:r>
        <w:rPr>
          <w:rFonts w:ascii="Times New Roman" w:hAnsi="Times New Roman" w:eastAsia="仿宋"/>
          <w:color w:val="auto"/>
          <w:sz w:val="32"/>
          <w:szCs w:val="32"/>
        </w:rPr>
        <w:t>创建丽水和云和2个省级知识产权维权援助中心</w:t>
      </w:r>
      <w:r>
        <w:rPr>
          <w:rFonts w:hint="eastAsia" w:ascii="Times New Roman" w:hAnsi="Times New Roman" w:eastAsia="仿宋"/>
          <w:color w:val="auto"/>
          <w:sz w:val="32"/>
          <w:szCs w:val="32"/>
        </w:rPr>
        <w:t>，</w:t>
      </w:r>
      <w:r>
        <w:rPr>
          <w:rFonts w:ascii="Times New Roman" w:hAnsi="Times New Roman" w:eastAsia="仿宋"/>
          <w:color w:val="auto"/>
          <w:sz w:val="32"/>
          <w:szCs w:val="32"/>
        </w:rPr>
        <w:t>启动建设丽水市知识产权纠纷调解处理中心，建立丽水市知识产权侵权判定专家库，</w:t>
      </w:r>
      <w:r>
        <w:rPr>
          <w:rFonts w:hint="eastAsia" w:ascii="Times New Roman" w:hAnsi="Times New Roman" w:eastAsia="仿宋"/>
          <w:color w:val="auto"/>
          <w:sz w:val="32"/>
          <w:szCs w:val="32"/>
        </w:rPr>
        <w:t>云和县申报中国（木玩）知识产权快速维权援助中心</w:t>
      </w:r>
      <w:r>
        <w:rPr>
          <w:rFonts w:ascii="Times New Roman" w:hAnsi="Times New Roman" w:eastAsia="仿宋"/>
          <w:color w:val="auto"/>
          <w:sz w:val="32"/>
          <w:szCs w:val="32"/>
        </w:rPr>
        <w:t>。</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——知识产权服务环境持续优化。</w:t>
      </w:r>
      <w:r>
        <w:rPr>
          <w:rFonts w:hint="eastAsia" w:ascii="Times New Roman" w:hAnsi="Times New Roman" w:eastAsia="仿宋"/>
          <w:color w:val="auto"/>
          <w:sz w:val="32"/>
          <w:szCs w:val="32"/>
        </w:rPr>
        <w:t>“十三五”期间，出台全省首个针对知识产权中介机构的市级地方性标准《知识产权中介机构服务规范》。与国家知识产权培训（浙江）基地建立合作交流机制，加快推进丽水市知识产权人才培养基地建设，承办了华东片区专利执法维权工作交流活动、</w:t>
      </w:r>
      <w:r>
        <w:rPr>
          <w:rFonts w:ascii="Times New Roman" w:hAnsi="Times New Roman" w:eastAsia="仿宋"/>
          <w:color w:val="auto"/>
          <w:sz w:val="32"/>
          <w:szCs w:val="32"/>
        </w:rPr>
        <w:t>2018年全国专利执法人才业务提高培训班、知识产权与高质量发展高端研修班等国家级知识产权培训。引导企业深入贯彻《企业知识产权管理规范》国家标准，开展浙江省企业知识产权卓越管理评价，进一步提升企业知识产权管理能力。引导企业申报国家、省、市级知识产权示范和优势企业</w:t>
      </w:r>
      <w:r>
        <w:rPr>
          <w:rFonts w:hint="eastAsia" w:ascii="Times New Roman" w:hAnsi="Times New Roman" w:eastAsia="仿宋"/>
          <w:color w:val="auto"/>
          <w:sz w:val="32"/>
          <w:szCs w:val="32"/>
        </w:rPr>
        <w:t>，加快推进国家、省、市三级知识产权示范企业梯队，培育国家知识产权优势企业5</w:t>
      </w:r>
      <w:r>
        <w:rPr>
          <w:rFonts w:ascii="Times New Roman" w:hAnsi="Times New Roman" w:eastAsia="仿宋"/>
          <w:color w:val="auto"/>
          <w:sz w:val="32"/>
          <w:szCs w:val="32"/>
        </w:rPr>
        <w:t>家，省级专利示范企业</w:t>
      </w:r>
      <w:r>
        <w:rPr>
          <w:rFonts w:hint="eastAsia" w:ascii="Times New Roman" w:hAnsi="Times New Roman" w:eastAsia="仿宋"/>
          <w:color w:val="auto"/>
          <w:sz w:val="32"/>
          <w:szCs w:val="32"/>
        </w:rPr>
        <w:t>18</w:t>
      </w:r>
      <w:r>
        <w:rPr>
          <w:rFonts w:ascii="Times New Roman" w:hAnsi="Times New Roman" w:eastAsia="仿宋"/>
          <w:color w:val="auto"/>
          <w:sz w:val="32"/>
          <w:szCs w:val="32"/>
        </w:rPr>
        <w:t>家。借助“互联网+”为企业</w:t>
      </w:r>
      <w:r>
        <w:rPr>
          <w:rFonts w:hint="eastAsia" w:ascii="Times New Roman" w:hAnsi="Times New Roman" w:eastAsia="仿宋"/>
          <w:color w:val="auto"/>
          <w:sz w:val="32"/>
          <w:szCs w:val="32"/>
        </w:rPr>
        <w:t>打造</w:t>
      </w:r>
      <w:r>
        <w:rPr>
          <w:rFonts w:ascii="Times New Roman" w:hAnsi="Times New Roman" w:eastAsia="仿宋"/>
          <w:color w:val="auto"/>
          <w:sz w:val="32"/>
          <w:szCs w:val="32"/>
        </w:rPr>
        <w:t>知识产权政策介绍、申报指南、网上培训、专利展示等功能为一体的丽水市知识产权线上服务平台。</w:t>
      </w:r>
    </w:p>
    <w:p>
      <w:pPr>
        <w:widowControl/>
        <w:spacing w:line="580" w:lineRule="exact"/>
        <w:jc w:val="center"/>
        <w:rPr>
          <w:rFonts w:ascii="Times New Roman" w:hAnsi="Times New Roman" w:eastAsia="宋体" w:cs="宋体"/>
          <w:b/>
          <w:bCs/>
          <w:color w:val="auto"/>
          <w:kern w:val="0"/>
          <w:sz w:val="28"/>
          <w:szCs w:val="28"/>
          <w:shd w:val="clear" w:color="auto" w:fill="FFFFFF"/>
          <w:lang w:bidi="ar"/>
        </w:rPr>
      </w:pPr>
      <w:r>
        <w:rPr>
          <w:rFonts w:hint="eastAsia" w:ascii="Times New Roman" w:hAnsi="Times New Roman" w:eastAsia="宋体" w:cs="宋体"/>
          <w:b/>
          <w:bCs/>
          <w:color w:val="auto"/>
          <w:kern w:val="0"/>
          <w:sz w:val="28"/>
          <w:szCs w:val="28"/>
          <w:shd w:val="clear" w:color="auto" w:fill="FFFFFF"/>
          <w:lang w:bidi="ar"/>
        </w:rPr>
        <w:t>表1 “十三五”期间主要指标完成情况</w:t>
      </w:r>
    </w:p>
    <w:tbl>
      <w:tblPr>
        <w:tblStyle w:val="13"/>
        <w:tblW w:w="7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4246"/>
        <w:gridCol w:w="772"/>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vAlign w:val="center"/>
          </w:tcPr>
          <w:p>
            <w:pPr>
              <w:widowControl/>
              <w:jc w:val="center"/>
              <w:rPr>
                <w:rFonts w:ascii="Times New Roman" w:hAnsi="Times New Roman" w:eastAsia="宋体"/>
                <w:b/>
                <w:bCs/>
                <w:color w:val="auto"/>
                <w:sz w:val="24"/>
                <w:szCs w:val="24"/>
                <w:lang w:bidi="ar"/>
              </w:rPr>
            </w:pPr>
            <w:r>
              <w:rPr>
                <w:rFonts w:hint="eastAsia" w:ascii="Times New Roman" w:hAnsi="Times New Roman" w:eastAsia="宋体"/>
                <w:b/>
                <w:bCs/>
                <w:color w:val="auto"/>
                <w:sz w:val="24"/>
                <w:szCs w:val="24"/>
                <w:lang w:bidi="ar"/>
              </w:rPr>
              <w:t>序号</w:t>
            </w:r>
          </w:p>
        </w:tc>
        <w:tc>
          <w:tcPr>
            <w:tcW w:w="4246" w:type="dxa"/>
            <w:vAlign w:val="center"/>
          </w:tcPr>
          <w:p>
            <w:pPr>
              <w:widowControl/>
              <w:jc w:val="center"/>
              <w:rPr>
                <w:rFonts w:ascii="Times New Roman" w:hAnsi="Times New Roman" w:eastAsia="宋体"/>
                <w:b/>
                <w:bCs/>
                <w:color w:val="auto"/>
                <w:sz w:val="24"/>
                <w:szCs w:val="24"/>
              </w:rPr>
            </w:pPr>
            <w:r>
              <w:rPr>
                <w:rFonts w:hint="eastAsia" w:ascii="Times New Roman" w:hAnsi="Times New Roman" w:eastAsia="宋体"/>
                <w:b/>
                <w:bCs/>
                <w:color w:val="auto"/>
                <w:sz w:val="24"/>
                <w:szCs w:val="24"/>
                <w:lang w:bidi="ar"/>
              </w:rPr>
              <w:t>指标名称</w:t>
            </w:r>
          </w:p>
        </w:tc>
        <w:tc>
          <w:tcPr>
            <w:tcW w:w="772" w:type="dxa"/>
            <w:vAlign w:val="center"/>
          </w:tcPr>
          <w:p>
            <w:pPr>
              <w:widowControl/>
              <w:jc w:val="center"/>
              <w:rPr>
                <w:rFonts w:ascii="Times New Roman" w:hAnsi="Times New Roman" w:eastAsia="宋体"/>
                <w:b/>
                <w:bCs/>
                <w:color w:val="auto"/>
                <w:sz w:val="24"/>
                <w:szCs w:val="24"/>
              </w:rPr>
            </w:pPr>
            <w:r>
              <w:rPr>
                <w:rFonts w:hint="eastAsia" w:ascii="Times New Roman" w:hAnsi="Times New Roman" w:eastAsia="宋体"/>
                <w:b/>
                <w:bCs/>
                <w:color w:val="auto"/>
                <w:sz w:val="24"/>
                <w:szCs w:val="24"/>
                <w:lang w:bidi="ar"/>
              </w:rPr>
              <w:t>单位</w:t>
            </w:r>
          </w:p>
        </w:tc>
        <w:tc>
          <w:tcPr>
            <w:tcW w:w="1704" w:type="dxa"/>
            <w:vAlign w:val="center"/>
          </w:tcPr>
          <w:p>
            <w:pPr>
              <w:widowControl/>
              <w:jc w:val="center"/>
              <w:rPr>
                <w:rFonts w:ascii="Times New Roman" w:hAnsi="Times New Roman" w:eastAsia="宋体"/>
                <w:b/>
                <w:bCs/>
                <w:color w:val="auto"/>
                <w:sz w:val="24"/>
                <w:szCs w:val="24"/>
              </w:rPr>
            </w:pPr>
            <w:r>
              <w:rPr>
                <w:rFonts w:hint="eastAsia" w:ascii="Times New Roman" w:hAnsi="Times New Roman" w:eastAsia="宋体"/>
                <w:b/>
                <w:bCs/>
                <w:color w:val="auto"/>
                <w:sz w:val="24"/>
                <w:szCs w:val="24"/>
                <w:lang w:bidi="ar"/>
              </w:rPr>
              <w:t>完成值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1</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累计专利申请量</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件</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45244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2</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专利授权量</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件</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11606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3</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累计发明专利授权量</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件</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8</w:t>
            </w:r>
            <w:r>
              <w:rPr>
                <w:rFonts w:ascii="仿宋" w:hAnsi="仿宋" w:eastAsia="仿宋"/>
                <w:color w:val="auto"/>
                <w:sz w:val="24"/>
                <w:szCs w:val="24"/>
                <w:lang w:bidi="ar"/>
              </w:rPr>
              <w:t>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4</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每万人有效发明专利拥有量（当年）</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件</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5</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累计国际专利PCT申请</w:t>
            </w:r>
            <w:r>
              <w:rPr>
                <w:rFonts w:ascii="仿宋" w:hAnsi="仿宋" w:eastAsia="仿宋"/>
                <w:color w:val="auto"/>
                <w:sz w:val="24"/>
                <w:szCs w:val="24"/>
                <w:lang w:bidi="ar"/>
              </w:rPr>
              <w:t>量</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件</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6</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新增国家知识产权示范企业</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家</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7</w:t>
            </w:r>
          </w:p>
        </w:tc>
        <w:tc>
          <w:tcPr>
            <w:tcW w:w="4246" w:type="dxa"/>
            <w:vAlign w:val="center"/>
          </w:tcPr>
          <w:p>
            <w:pPr>
              <w:widowControl/>
              <w:jc w:val="center"/>
              <w:rPr>
                <w:rFonts w:ascii="仿宋" w:hAnsi="仿宋" w:eastAsia="仿宋"/>
                <w:color w:val="auto"/>
                <w:sz w:val="24"/>
                <w:szCs w:val="24"/>
                <w:lang w:bidi="ar"/>
              </w:rPr>
            </w:pPr>
            <w:r>
              <w:rPr>
                <w:rFonts w:ascii="仿宋" w:hAnsi="仿宋" w:eastAsia="仿宋"/>
                <w:color w:val="auto"/>
                <w:sz w:val="24"/>
                <w:szCs w:val="24"/>
                <w:lang w:bidi="ar"/>
              </w:rPr>
              <w:t>新增</w:t>
            </w:r>
            <w:r>
              <w:rPr>
                <w:rFonts w:hint="eastAsia" w:ascii="仿宋" w:hAnsi="仿宋" w:eastAsia="仿宋"/>
                <w:color w:val="auto"/>
                <w:sz w:val="24"/>
                <w:szCs w:val="24"/>
                <w:lang w:bidi="ar"/>
              </w:rPr>
              <w:t>国家知识产权优势企业</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家</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8</w:t>
            </w:r>
          </w:p>
        </w:tc>
        <w:tc>
          <w:tcPr>
            <w:tcW w:w="4246" w:type="dxa"/>
            <w:vAlign w:val="center"/>
          </w:tcPr>
          <w:p>
            <w:pPr>
              <w:widowControl/>
              <w:jc w:val="center"/>
              <w:rPr>
                <w:rFonts w:ascii="仿宋" w:hAnsi="仿宋" w:eastAsia="仿宋"/>
                <w:color w:val="auto"/>
                <w:sz w:val="24"/>
                <w:szCs w:val="24"/>
                <w:lang w:bidi="ar"/>
              </w:rPr>
            </w:pPr>
            <w:r>
              <w:rPr>
                <w:rFonts w:ascii="仿宋" w:hAnsi="仿宋" w:eastAsia="仿宋"/>
                <w:color w:val="auto"/>
                <w:sz w:val="24"/>
                <w:szCs w:val="24"/>
                <w:lang w:bidi="ar"/>
              </w:rPr>
              <w:t>新增</w:t>
            </w:r>
            <w:r>
              <w:rPr>
                <w:rFonts w:hint="eastAsia" w:ascii="仿宋" w:hAnsi="仿宋" w:eastAsia="仿宋"/>
                <w:color w:val="auto"/>
                <w:sz w:val="24"/>
                <w:szCs w:val="24"/>
                <w:lang w:bidi="ar"/>
              </w:rPr>
              <w:t>知识产权贯标企业</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家</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9</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知识产权质押登记额</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亿元</w:t>
            </w:r>
          </w:p>
        </w:tc>
        <w:tc>
          <w:tcPr>
            <w:tcW w:w="1704"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20.04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1</w:t>
            </w:r>
            <w:r>
              <w:rPr>
                <w:rFonts w:ascii="仿宋" w:hAnsi="仿宋" w:eastAsia="仿宋"/>
                <w:color w:val="auto"/>
                <w:sz w:val="24"/>
                <w:szCs w:val="24"/>
                <w:lang w:bidi="ar"/>
              </w:rPr>
              <w:t>0</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有效注册商标数</w:t>
            </w:r>
          </w:p>
        </w:tc>
        <w:tc>
          <w:tcPr>
            <w:tcW w:w="772"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件</w:t>
            </w:r>
          </w:p>
        </w:tc>
        <w:tc>
          <w:tcPr>
            <w:tcW w:w="1704" w:type="dxa"/>
            <w:vAlign w:val="center"/>
          </w:tcPr>
          <w:p>
            <w:pPr>
              <w:widowControl/>
              <w:jc w:val="center"/>
              <w:rPr>
                <w:rFonts w:ascii="仿宋" w:hAnsi="仿宋" w:eastAsia="仿宋"/>
                <w:color w:val="auto"/>
                <w:sz w:val="24"/>
                <w:szCs w:val="24"/>
                <w:lang w:bidi="ar"/>
              </w:rPr>
            </w:pPr>
            <w:r>
              <w:rPr>
                <w:rFonts w:ascii="仿宋" w:hAnsi="仿宋" w:eastAsia="仿宋"/>
                <w:color w:val="auto"/>
                <w:sz w:val="24"/>
                <w:szCs w:val="24"/>
                <w:lang w:bidi="ar"/>
              </w:rPr>
              <w:t>62607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88" w:type="dxa"/>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1</w:t>
            </w:r>
            <w:r>
              <w:rPr>
                <w:rFonts w:ascii="仿宋" w:hAnsi="仿宋" w:eastAsia="仿宋"/>
                <w:color w:val="auto"/>
                <w:sz w:val="24"/>
                <w:szCs w:val="24"/>
                <w:lang w:bidi="ar"/>
              </w:rPr>
              <w:t>1</w:t>
            </w:r>
          </w:p>
        </w:tc>
        <w:tc>
          <w:tcPr>
            <w:tcW w:w="4246" w:type="dxa"/>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新增</w:t>
            </w:r>
            <w:r>
              <w:rPr>
                <w:rFonts w:ascii="仿宋" w:hAnsi="仿宋" w:eastAsia="仿宋"/>
                <w:color w:val="auto"/>
                <w:sz w:val="24"/>
                <w:szCs w:val="24"/>
                <w:lang w:bidi="ar"/>
              </w:rPr>
              <w:t>地理标志</w:t>
            </w:r>
          </w:p>
        </w:tc>
        <w:tc>
          <w:tcPr>
            <w:tcW w:w="772" w:type="dxa"/>
            <w:vAlign w:val="center"/>
          </w:tcPr>
          <w:p>
            <w:pPr>
              <w:widowControl/>
              <w:jc w:val="center"/>
              <w:rPr>
                <w:rFonts w:ascii="仿宋" w:hAnsi="仿宋" w:eastAsia="仿宋"/>
                <w:color w:val="auto"/>
                <w:sz w:val="24"/>
                <w:szCs w:val="24"/>
                <w:lang w:bidi="ar"/>
              </w:rPr>
            </w:pPr>
            <w:r>
              <w:rPr>
                <w:rFonts w:ascii="仿宋" w:hAnsi="仿宋" w:eastAsia="仿宋"/>
                <w:color w:val="auto"/>
                <w:sz w:val="24"/>
                <w:szCs w:val="24"/>
                <w:lang w:bidi="ar"/>
              </w:rPr>
              <w:t>件</w:t>
            </w:r>
          </w:p>
        </w:tc>
        <w:tc>
          <w:tcPr>
            <w:tcW w:w="1704" w:type="dxa"/>
            <w:vAlign w:val="center"/>
          </w:tcPr>
          <w:p>
            <w:pPr>
              <w:widowControl/>
              <w:jc w:val="center"/>
              <w:rPr>
                <w:rFonts w:hint="default" w:ascii="仿宋" w:hAnsi="仿宋" w:eastAsia="仿宋"/>
                <w:color w:val="auto"/>
                <w:sz w:val="24"/>
                <w:szCs w:val="24"/>
                <w:lang w:bidi="ar"/>
              </w:rPr>
            </w:pPr>
            <w:r>
              <w:rPr>
                <w:rFonts w:ascii="仿宋" w:hAnsi="仿宋" w:eastAsia="仿宋"/>
                <w:color w:val="auto"/>
                <w:sz w:val="24"/>
                <w:szCs w:val="24"/>
                <w:lang w:bidi="ar"/>
              </w:rPr>
              <w:t>13</w:t>
            </w:r>
          </w:p>
        </w:tc>
      </w:tr>
    </w:tbl>
    <w:p>
      <w:pPr>
        <w:rPr>
          <w:rFonts w:ascii="楷体" w:hAnsi="楷体" w:eastAsia="楷体"/>
          <w:color w:val="auto"/>
          <w:sz w:val="24"/>
          <w:szCs w:val="24"/>
          <w:lang w:bidi="ar"/>
        </w:rPr>
      </w:pPr>
      <w:bookmarkStart w:id="5" w:name="_Toc25316"/>
      <w:bookmarkStart w:id="6" w:name="_Toc80863147"/>
      <w:r>
        <w:rPr>
          <w:rFonts w:ascii="楷体" w:hAnsi="楷体" w:eastAsia="楷体"/>
          <w:color w:val="auto"/>
          <w:sz w:val="24"/>
          <w:szCs w:val="24"/>
          <w:lang w:bidi="ar"/>
        </w:rPr>
        <w:t>注：</w:t>
      </w:r>
      <w:r>
        <w:rPr>
          <w:rFonts w:hint="eastAsia" w:ascii="楷体" w:hAnsi="楷体" w:eastAsia="楷体"/>
          <w:color w:val="auto"/>
          <w:sz w:val="24"/>
          <w:szCs w:val="24"/>
          <w:lang w:bidi="ar"/>
        </w:rPr>
        <w:t>“十三五”期间，知识产权工作体现在《丽水市科技发展“十三五”规划》中，丽水市“十三五”科技发展主要目标中，有2项和知识产权相关，分别是“专利授权量”和“累计发明专利授权量”，目标数量分别为8</w:t>
      </w:r>
      <w:r>
        <w:rPr>
          <w:rFonts w:ascii="楷体" w:hAnsi="楷体" w:eastAsia="楷体"/>
          <w:color w:val="auto"/>
          <w:sz w:val="24"/>
          <w:szCs w:val="24"/>
          <w:lang w:bidi="ar"/>
        </w:rPr>
        <w:t>000</w:t>
      </w:r>
      <w:r>
        <w:rPr>
          <w:rFonts w:hint="eastAsia" w:ascii="楷体" w:hAnsi="楷体" w:eastAsia="楷体"/>
          <w:color w:val="auto"/>
          <w:sz w:val="24"/>
          <w:szCs w:val="24"/>
          <w:lang w:bidi="ar"/>
        </w:rPr>
        <w:t>和6</w:t>
      </w:r>
      <w:r>
        <w:rPr>
          <w:rFonts w:ascii="楷体" w:hAnsi="楷体" w:eastAsia="楷体"/>
          <w:color w:val="auto"/>
          <w:sz w:val="24"/>
          <w:szCs w:val="24"/>
          <w:lang w:bidi="ar"/>
        </w:rPr>
        <w:t>91</w:t>
      </w:r>
      <w:r>
        <w:rPr>
          <w:rFonts w:hint="eastAsia" w:ascii="楷体" w:hAnsi="楷体" w:eastAsia="楷体"/>
          <w:color w:val="auto"/>
          <w:sz w:val="24"/>
          <w:szCs w:val="24"/>
          <w:lang w:bidi="ar"/>
        </w:rPr>
        <w:t>，实际均超额完成。</w:t>
      </w:r>
    </w:p>
    <w:p>
      <w:pPr>
        <w:pStyle w:val="4"/>
        <w:widowControl/>
        <w:spacing w:before="0" w:after="0" w:line="580" w:lineRule="exact"/>
        <w:ind w:firstLine="643" w:firstLineChars="200"/>
        <w:rPr>
          <w:rFonts w:ascii="Times New Roman" w:hAnsi="Times New Roman" w:eastAsia="楷体"/>
          <w:color w:val="auto"/>
        </w:rPr>
      </w:pPr>
      <w:r>
        <w:rPr>
          <w:rFonts w:hint="eastAsia" w:ascii="Times New Roman" w:hAnsi="Times New Roman" w:eastAsia="楷体"/>
          <w:color w:val="auto"/>
        </w:rPr>
        <w:t>（二）“十四五”时期知识产权发展面临新挑战新机遇</w:t>
      </w:r>
      <w:bookmarkEnd w:id="5"/>
      <w:bookmarkEnd w:id="6"/>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总体来看，“十三五”期间，丽水市在创造、运用、保护、管理、服务等知识产权全链条实现了快速发展，但与高水平知识产权示范市建设目标的要求相比，还存在进一步发展空间。一是知识产权创造质量不高、市场运用不充分还比较突出，利用知识产权促进地方产业发展的水平有待进一步提高。近年来，尽管企业知识产权意识有所提升，但难以形成规模化的知识产权竞争力，特别是企业的知识产权抗风险能力较弱，地方产业未能形成知识产权合力。二是知识产权服务优质供给不足。知识产权服务业处于“散、乱、小”的状况，能从促进产业发展、布局的高度为企业提供知识产权服务的机构不多。三是地方知识产权人才队伍建设力度有待进一步加强。现有知识产权人才数量与地方产业和企业发展需求相比，还存在较大的差距。</w:t>
      </w:r>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当前，随着大国博弈重塑世界格局，全球疫情影响发展趋势，长三角区域一体化步伐加快，知识产权国际国内环境正在发生深刻变化。《中共中央</w:t>
      </w:r>
      <w:r>
        <w:rPr>
          <w:rFonts w:ascii="Times New Roman" w:hAnsi="Times New Roman" w:eastAsia="仿宋"/>
          <w:color w:val="auto"/>
          <w:sz w:val="32"/>
          <w:szCs w:val="32"/>
        </w:rPr>
        <w:t xml:space="preserve"> 国务院关于全面推进乡村振兴加快农业农村现代化的意见》</w:t>
      </w:r>
      <w:r>
        <w:rPr>
          <w:rFonts w:hint="eastAsia" w:ascii="Times New Roman" w:hAnsi="Times New Roman" w:eastAsia="仿宋"/>
          <w:color w:val="auto"/>
          <w:sz w:val="32"/>
          <w:szCs w:val="32"/>
        </w:rPr>
        <w:t>印发，乡村振兴战略正在深入推进。《中共中央国务院关于支持浙江高质量发展建设共同富裕示范区的意见》发布，浙江将走在全国前列，探索和实现共同富裕。这要求我们立足</w:t>
      </w:r>
      <w:r>
        <w:rPr>
          <w:rFonts w:hint="eastAsia" w:ascii="Times New Roman" w:hAnsi="Times New Roman" w:eastAsia="仿宋"/>
          <w:color w:val="auto"/>
          <w:sz w:val="32"/>
          <w:szCs w:val="32"/>
          <w:lang w:eastAsia="zh-CN"/>
        </w:rPr>
        <w:t>以国内大循环为主体、国内国际双循环相互促进的新发展格局</w:t>
      </w:r>
      <w:r>
        <w:rPr>
          <w:rFonts w:hint="eastAsia" w:ascii="Times New Roman" w:hAnsi="Times New Roman" w:eastAsia="仿宋"/>
          <w:color w:val="auto"/>
          <w:sz w:val="32"/>
          <w:szCs w:val="32"/>
        </w:rPr>
        <w:t>，更加深入学习贯彻党的十九届五中全会、省委十四届八次全会精神，忠实践行“八八战略”，创新实践“绿水青山就是金山银山”理念发展道路，围绕打造“高水平建设和高质量发展重要窗口”，以浙西南革命精神注魂赋能立根，全面厉行“丽水之干”不动摇，全面贯彻“八个坚持”基本要求，主动融入新发展格局，奋力推进高质量绿色发展，加快跨越式发展，系统构建以“生态经济化、经济生态化”为显著特征的现代化生态经济体系，全面推进市域治理现代化，坚定不移实施知识产权强市战略，围绕知识产权创造、运用、保护、管理、服务全链条，不断深化知识产权“一件事”改革和数字化转型，大力推进知识产权治理体系和治理能力现代化，奋力开启高水平</w:t>
      </w:r>
      <w:r>
        <w:rPr>
          <w:rFonts w:hint="eastAsia" w:ascii="Times New Roman" w:hAnsi="Times New Roman" w:eastAsia="仿宋"/>
          <w:color w:val="auto"/>
          <w:sz w:val="32"/>
          <w:szCs w:val="32"/>
          <w:lang w:eastAsia="zh-CN"/>
        </w:rPr>
        <w:t>全面建设社会主义现代化国家新征程</w:t>
      </w:r>
      <w:r>
        <w:rPr>
          <w:rFonts w:hint="eastAsia" w:ascii="Times New Roman" w:hAnsi="Times New Roman" w:eastAsia="仿宋"/>
          <w:color w:val="auto"/>
          <w:sz w:val="32"/>
          <w:szCs w:val="32"/>
        </w:rPr>
        <w:t>。</w:t>
      </w:r>
    </w:p>
    <w:p>
      <w:pPr>
        <w:pStyle w:val="4"/>
        <w:widowControl/>
        <w:spacing w:before="0" w:after="0" w:line="580" w:lineRule="exact"/>
        <w:ind w:firstLine="643" w:firstLineChars="200"/>
        <w:rPr>
          <w:rFonts w:ascii="Times New Roman" w:hAnsi="Times New Roman" w:eastAsia="楷体"/>
          <w:color w:val="auto"/>
        </w:rPr>
      </w:pPr>
      <w:bookmarkStart w:id="7" w:name="_Toc28253"/>
      <w:bookmarkStart w:id="8" w:name="_Toc80863148"/>
      <w:r>
        <w:rPr>
          <w:rFonts w:hint="eastAsia" w:ascii="Times New Roman" w:hAnsi="Times New Roman" w:eastAsia="楷体"/>
          <w:color w:val="auto"/>
        </w:rPr>
        <w:t>（三）“十四五”时期知识产权工作总体思路和发展目标</w:t>
      </w:r>
      <w:bookmarkEnd w:id="7"/>
      <w:bookmarkEnd w:id="8"/>
    </w:p>
    <w:p>
      <w:pPr>
        <w:widowControl/>
        <w:spacing w:line="580" w:lineRule="exact"/>
        <w:ind w:firstLine="643" w:firstLineChars="200"/>
        <w:rPr>
          <w:rFonts w:ascii="Times New Roman" w:hAnsi="Times New Roman" w:eastAsia="仿宋"/>
          <w:b/>
          <w:bCs/>
          <w:color w:val="auto"/>
          <w:sz w:val="32"/>
          <w:szCs w:val="32"/>
        </w:rPr>
      </w:pPr>
      <w:r>
        <w:rPr>
          <w:rFonts w:hint="eastAsia" w:ascii="Times New Roman" w:hAnsi="Times New Roman" w:eastAsia="仿宋"/>
          <w:b/>
          <w:bCs/>
          <w:color w:val="auto"/>
          <w:sz w:val="32"/>
          <w:szCs w:val="32"/>
        </w:rPr>
        <w:t>1.</w:t>
      </w:r>
      <w:r>
        <w:rPr>
          <w:rFonts w:ascii="Times New Roman" w:hAnsi="Times New Roman" w:eastAsia="仿宋"/>
          <w:b/>
          <w:bCs/>
          <w:color w:val="auto"/>
          <w:sz w:val="32"/>
          <w:szCs w:val="32"/>
        </w:rPr>
        <w:t>指导思想</w:t>
      </w:r>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以习近平新时代中国特色社会主义思想为指导，贯彻落实党的十九大和十九届二中、三中、四中、五中全会和省委十四届五次、六次、七次、八次全会精神，落实习近平总书记关于知识产权的系列重要论述要求，忠实践行“八八战略”，奋力打造“高水平建设和高质量发展重要窗口”，以高水平知识产权示范市建设为统领，以坚持高质量发展为主题，以知识产权保护“一件事”集成改革为主线，积极打造数字化改革引领知识产权示范市，打通知识产权创造、运用、保护、管理、服务全链条，不断提升丽水市知识产权治理能力和治理水平，营造良好的营商环境，更好发挥知识产权在激发创新活力、促进现代经济体系建设、推动构建新发展格局中的重要作用，使知识产权成为打造“高水平建设和高质量发展重要窗口”的重要亮色。</w:t>
      </w:r>
    </w:p>
    <w:p>
      <w:pPr>
        <w:widowControl/>
        <w:spacing w:line="580" w:lineRule="exact"/>
        <w:ind w:firstLine="643" w:firstLineChars="200"/>
        <w:rPr>
          <w:rFonts w:ascii="Times New Roman" w:hAnsi="Times New Roman" w:eastAsia="仿宋"/>
          <w:b/>
          <w:bCs/>
          <w:color w:val="auto"/>
          <w:sz w:val="32"/>
          <w:szCs w:val="32"/>
        </w:rPr>
      </w:pPr>
      <w:r>
        <w:rPr>
          <w:rFonts w:ascii="Times New Roman" w:hAnsi="Times New Roman" w:eastAsia="仿宋"/>
          <w:b/>
          <w:bCs/>
          <w:color w:val="auto"/>
          <w:sz w:val="32"/>
          <w:szCs w:val="32"/>
        </w:rPr>
        <w:t>2</w:t>
      </w:r>
      <w:r>
        <w:rPr>
          <w:rFonts w:hint="eastAsia" w:ascii="Times New Roman" w:hAnsi="Times New Roman" w:eastAsia="仿宋"/>
          <w:b/>
          <w:bCs/>
          <w:color w:val="auto"/>
          <w:sz w:val="32"/>
          <w:szCs w:val="32"/>
        </w:rPr>
        <w:t>.</w:t>
      </w:r>
      <w:r>
        <w:rPr>
          <w:rFonts w:ascii="Times New Roman" w:hAnsi="Times New Roman" w:eastAsia="仿宋"/>
          <w:b/>
          <w:bCs/>
          <w:color w:val="auto"/>
          <w:sz w:val="32"/>
          <w:szCs w:val="32"/>
        </w:rPr>
        <w:t>基本原则</w:t>
      </w:r>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w:t>
      </w:r>
      <w:r>
        <w:rPr>
          <w:rFonts w:ascii="Times New Roman" w:hAnsi="Times New Roman" w:eastAsia="仿宋"/>
          <w:b/>
          <w:bCs/>
          <w:color w:val="auto"/>
          <w:sz w:val="32"/>
          <w:szCs w:val="32"/>
        </w:rPr>
        <w:t>1）坚持创新发展与统筹协调相结合。</w:t>
      </w:r>
      <w:r>
        <w:rPr>
          <w:rFonts w:ascii="Times New Roman" w:hAnsi="Times New Roman" w:eastAsia="仿宋"/>
          <w:color w:val="auto"/>
          <w:sz w:val="32"/>
          <w:szCs w:val="32"/>
        </w:rPr>
        <w:t>以深化丽水市知识产权体制机制改革创新为主线，以加强知识产权创造、保护和运用为发展重点，破除制约知识产权发展的体制机制障碍，构建有利于知识产权治理能力和治理水平现代化的新机制；系统谋划知识产权强市战略体系，充分发挥知识产权制度激发创新活力、释放创新动能的重要作用，促进新技术、新产业、新业态蓬勃发展。</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w:t>
      </w:r>
      <w:r>
        <w:rPr>
          <w:rFonts w:ascii="Times New Roman" w:hAnsi="Times New Roman" w:eastAsia="仿宋"/>
          <w:b/>
          <w:bCs/>
          <w:color w:val="auto"/>
          <w:sz w:val="32"/>
          <w:szCs w:val="32"/>
        </w:rPr>
        <w:t>2）坚持量增质升和结构优化相结合。</w:t>
      </w:r>
      <w:r>
        <w:rPr>
          <w:rFonts w:ascii="Times New Roman" w:hAnsi="Times New Roman" w:eastAsia="仿宋"/>
          <w:color w:val="auto"/>
          <w:sz w:val="32"/>
          <w:szCs w:val="32"/>
        </w:rPr>
        <w:t>坚持知识产权高质量发展导向，坚持“量质齐升、结构优化”原则，充分发挥政府引导、服务和推动作用，鼓励更多政策、资源向高价值知识产权倾斜，及时总结推动知识产权高质量发展的经验做法和成果，形成一批可复制可推广的经验，激发市场主体创造活力，实现重点领域高价值知识产权数量大幅增长，切实推动知识产权高质量创造。</w:t>
      </w:r>
    </w:p>
    <w:p>
      <w:pPr>
        <w:widowControl/>
        <w:spacing w:line="580" w:lineRule="exact"/>
        <w:ind w:firstLine="643" w:firstLineChars="200"/>
        <w:rPr>
          <w:rFonts w:ascii="Times New Roman" w:hAnsi="Times New Roman" w:eastAsia="仿宋"/>
          <w:b/>
          <w:bCs/>
          <w:color w:val="auto"/>
          <w:sz w:val="32"/>
          <w:szCs w:val="32"/>
        </w:rPr>
      </w:pPr>
      <w:r>
        <w:rPr>
          <w:rFonts w:hint="eastAsia" w:ascii="Times New Roman" w:hAnsi="Times New Roman" w:eastAsia="仿宋"/>
          <w:b/>
          <w:bCs/>
          <w:color w:val="auto"/>
          <w:sz w:val="32"/>
          <w:szCs w:val="32"/>
        </w:rPr>
        <w:t>（</w:t>
      </w:r>
      <w:r>
        <w:rPr>
          <w:rFonts w:ascii="Times New Roman" w:hAnsi="Times New Roman" w:eastAsia="仿宋"/>
          <w:b/>
          <w:bCs/>
          <w:color w:val="auto"/>
          <w:sz w:val="32"/>
          <w:szCs w:val="32"/>
        </w:rPr>
        <w:t>3）坚持严格保护与协同治理相结合。</w:t>
      </w:r>
      <w:r>
        <w:rPr>
          <w:rFonts w:ascii="Times New Roman" w:hAnsi="Times New Roman" w:eastAsia="仿宋"/>
          <w:color w:val="auto"/>
          <w:sz w:val="32"/>
          <w:szCs w:val="32"/>
        </w:rPr>
        <w:t>建设高强度知识产权综合保护体系，提升知识产权保护协同治理水平，完善知识产权运用服务机制，深化知识产权运用和保护综合改革，努力构建司法审判、行政执法、仲裁调解、快速维权、海外保护、行业自律等有机结合</w:t>
      </w:r>
      <w:r>
        <w:rPr>
          <w:rFonts w:hint="eastAsia" w:ascii="Times New Roman" w:hAnsi="Times New Roman" w:eastAsia="仿宋"/>
          <w:color w:val="auto"/>
          <w:sz w:val="32"/>
          <w:szCs w:val="32"/>
        </w:rPr>
        <w:t>的知识产权保护全链条</w:t>
      </w:r>
      <w:r>
        <w:rPr>
          <w:rFonts w:ascii="Times New Roman" w:hAnsi="Times New Roman" w:eastAsia="仿宋"/>
          <w:color w:val="auto"/>
          <w:sz w:val="32"/>
          <w:szCs w:val="32"/>
        </w:rPr>
        <w:t>，协调联动</w:t>
      </w:r>
      <w:r>
        <w:rPr>
          <w:rFonts w:hint="eastAsia" w:ascii="Times New Roman" w:hAnsi="Times New Roman" w:eastAsia="仿宋"/>
          <w:color w:val="auto"/>
          <w:sz w:val="32"/>
          <w:szCs w:val="32"/>
        </w:rPr>
        <w:t>建立</w:t>
      </w:r>
      <w:r>
        <w:rPr>
          <w:rFonts w:ascii="Times New Roman" w:hAnsi="Times New Roman" w:eastAsia="仿宋"/>
          <w:color w:val="auto"/>
          <w:sz w:val="32"/>
          <w:szCs w:val="32"/>
        </w:rPr>
        <w:t>知识产权大保护大运用机制</w:t>
      </w:r>
      <w:r>
        <w:rPr>
          <w:rFonts w:hint="eastAsia" w:ascii="Times New Roman" w:hAnsi="Times New Roman" w:eastAsia="仿宋"/>
          <w:color w:val="auto"/>
          <w:sz w:val="32"/>
          <w:szCs w:val="32"/>
        </w:rPr>
        <w:t>。</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w:t>
      </w:r>
      <w:r>
        <w:rPr>
          <w:rFonts w:ascii="Times New Roman" w:hAnsi="Times New Roman" w:eastAsia="仿宋"/>
          <w:b/>
          <w:bCs/>
          <w:color w:val="auto"/>
          <w:sz w:val="32"/>
          <w:szCs w:val="32"/>
        </w:rPr>
        <w:t>4）坚持数字赋能与区域特色相结合。</w:t>
      </w:r>
      <w:r>
        <w:rPr>
          <w:rFonts w:ascii="Times New Roman" w:hAnsi="Times New Roman" w:eastAsia="仿宋"/>
          <w:color w:val="auto"/>
          <w:sz w:val="32"/>
          <w:szCs w:val="32"/>
        </w:rPr>
        <w:t>以数字化</w:t>
      </w:r>
      <w:r>
        <w:rPr>
          <w:rFonts w:hint="eastAsia" w:ascii="Times New Roman" w:hAnsi="Times New Roman" w:eastAsia="仿宋"/>
          <w:color w:val="auto"/>
          <w:sz w:val="32"/>
          <w:szCs w:val="32"/>
        </w:rPr>
        <w:t>改</w:t>
      </w:r>
      <w:r>
        <w:rPr>
          <w:rFonts w:ascii="Times New Roman" w:hAnsi="Times New Roman" w:eastAsia="仿宋"/>
          <w:color w:val="auto"/>
          <w:sz w:val="32"/>
          <w:szCs w:val="32"/>
        </w:rPr>
        <w:t>革提升知识产权治理现代化水平，强化知识产权部门的政策配套协调，逐渐形成政府引导、企业主体、社会参与的知识产权共治格局。立足区域发展优势，充分运用5G、区块链、大数据、云计算、物联网、人工智能等新技术，以知识产权要素资源整合和精准匹配为主线，继续推动知识产权“线上线下”服务平台建设，着力提升知识产权与区域经济、产业发展的匹配水平，高效实现创新链、产业链、价值链深度融合。</w:t>
      </w:r>
    </w:p>
    <w:p>
      <w:pPr>
        <w:widowControl/>
        <w:spacing w:line="580" w:lineRule="exact"/>
        <w:ind w:firstLine="643" w:firstLineChars="200"/>
        <w:rPr>
          <w:rFonts w:ascii="Times New Roman" w:hAnsi="Times New Roman" w:eastAsia="仿宋"/>
          <w:b/>
          <w:bCs/>
          <w:color w:val="auto"/>
          <w:sz w:val="32"/>
          <w:szCs w:val="32"/>
        </w:rPr>
      </w:pPr>
      <w:r>
        <w:rPr>
          <w:rFonts w:ascii="Times New Roman" w:hAnsi="Times New Roman" w:eastAsia="仿宋"/>
          <w:b/>
          <w:bCs/>
          <w:color w:val="auto"/>
          <w:sz w:val="32"/>
          <w:szCs w:val="32"/>
        </w:rPr>
        <w:t>3</w:t>
      </w:r>
      <w:r>
        <w:rPr>
          <w:rFonts w:hint="eastAsia" w:ascii="Times New Roman" w:hAnsi="Times New Roman" w:eastAsia="仿宋"/>
          <w:b/>
          <w:bCs/>
          <w:color w:val="auto"/>
          <w:sz w:val="32"/>
          <w:szCs w:val="32"/>
        </w:rPr>
        <w:t>.</w:t>
      </w:r>
      <w:r>
        <w:rPr>
          <w:rFonts w:ascii="Times New Roman" w:hAnsi="Times New Roman" w:eastAsia="仿宋"/>
          <w:b/>
          <w:bCs/>
          <w:color w:val="auto"/>
          <w:sz w:val="32"/>
          <w:szCs w:val="32"/>
        </w:rPr>
        <w:t>发展目标</w:t>
      </w:r>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十四五”期间，我市将持续推进知识产权体制机制创新，全方位打造高质量的知识产权创造体系、高效益的知识产权运用体系、高水平的知识产权保护体系、高效能的知识产权服务支撑体系，构建“产学研用金、才政介美云”十联动知识产权生态体系，争创国家知识产权示范城市。通过五年努力，到</w:t>
      </w:r>
      <w:r>
        <w:rPr>
          <w:rFonts w:ascii="Times New Roman" w:hAnsi="Times New Roman" w:eastAsia="仿宋"/>
          <w:color w:val="auto"/>
          <w:sz w:val="32"/>
          <w:szCs w:val="32"/>
        </w:rPr>
        <w:t>2025年，基本建立知识产权支撑生态型经济的体制机制，初步</w:t>
      </w:r>
      <w:r>
        <w:rPr>
          <w:rFonts w:hint="eastAsia" w:ascii="Times New Roman" w:hAnsi="Times New Roman" w:eastAsia="仿宋"/>
          <w:color w:val="auto"/>
          <w:sz w:val="32"/>
          <w:szCs w:val="32"/>
        </w:rPr>
        <w:t>形成</w:t>
      </w:r>
      <w:r>
        <w:rPr>
          <w:rFonts w:ascii="Times New Roman" w:hAnsi="Times New Roman" w:eastAsia="仿宋"/>
          <w:color w:val="auto"/>
          <w:sz w:val="32"/>
          <w:szCs w:val="32"/>
        </w:rPr>
        <w:t>知识产权支撑生态资源创新</w:t>
      </w:r>
      <w:r>
        <w:rPr>
          <w:rFonts w:hint="eastAsia" w:ascii="Times New Roman" w:hAnsi="Times New Roman" w:eastAsia="仿宋"/>
          <w:color w:val="auto"/>
          <w:sz w:val="32"/>
          <w:szCs w:val="32"/>
        </w:rPr>
        <w:t>丽水</w:t>
      </w:r>
      <w:r>
        <w:rPr>
          <w:rFonts w:ascii="Times New Roman" w:hAnsi="Times New Roman" w:eastAsia="仿宋"/>
          <w:color w:val="auto"/>
          <w:sz w:val="32"/>
          <w:szCs w:val="32"/>
        </w:rPr>
        <w:t>模式；在此基础上，知识产权创造质量、运用效益、保护效果、管理水平、服务能力和国际影响力进一步提升，体系建设更加完善，竞争优势更加明显，知识产权对</w:t>
      </w:r>
      <w:r>
        <w:rPr>
          <w:rFonts w:hint="eastAsia" w:ascii="Times New Roman" w:hAnsi="Times New Roman" w:eastAsia="仿宋"/>
          <w:color w:val="auto"/>
          <w:sz w:val="32"/>
          <w:szCs w:val="32"/>
        </w:rPr>
        <w:t>“</w:t>
      </w:r>
      <w:r>
        <w:rPr>
          <w:rFonts w:ascii="Times New Roman" w:hAnsi="Times New Roman" w:eastAsia="仿宋"/>
          <w:color w:val="auto"/>
          <w:sz w:val="32"/>
          <w:szCs w:val="32"/>
        </w:rPr>
        <w:t>生态</w:t>
      </w:r>
      <w:r>
        <w:rPr>
          <w:rFonts w:hint="eastAsia" w:ascii="Times New Roman" w:hAnsi="Times New Roman" w:eastAsia="仿宋"/>
          <w:color w:val="auto"/>
          <w:sz w:val="32"/>
          <w:szCs w:val="32"/>
        </w:rPr>
        <w:t>丽水”高质量发展引领支撑作用显著增强，打造数字化改革引领知识产权示范市。</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——构建知识产权治理新体系。</w:t>
      </w:r>
      <w:r>
        <w:rPr>
          <w:rFonts w:hint="eastAsia" w:ascii="Times New Roman" w:hAnsi="Times New Roman" w:eastAsia="仿宋"/>
          <w:color w:val="auto"/>
          <w:sz w:val="32"/>
          <w:szCs w:val="32"/>
        </w:rPr>
        <w:t>以《丽水市知识产权发展“十四五”规划》为指导，以创建国家知识产权示范市和贯彻落实党中央、国务院和省委省政府关于知识产权的决策部署为抓手，构建知识产权治理新体系，助推知识产权示范市建设。到2</w:t>
      </w:r>
      <w:r>
        <w:rPr>
          <w:rFonts w:ascii="Times New Roman" w:hAnsi="Times New Roman" w:eastAsia="仿宋"/>
          <w:color w:val="auto"/>
          <w:sz w:val="32"/>
          <w:szCs w:val="32"/>
        </w:rPr>
        <w:t>025</w:t>
      </w:r>
      <w:r>
        <w:rPr>
          <w:rFonts w:hint="eastAsia" w:ascii="Times New Roman" w:hAnsi="Times New Roman" w:eastAsia="仿宋"/>
          <w:color w:val="auto"/>
          <w:sz w:val="32"/>
          <w:szCs w:val="32"/>
        </w:rPr>
        <w:t>年，力争形成特色化、集群化、规模化、科学化发展的知识产权多元共治新格局。</w:t>
      </w:r>
      <w:r>
        <w:rPr>
          <w:rFonts w:ascii="Times New Roman" w:hAnsi="Times New Roman" w:eastAsia="仿宋"/>
          <w:color w:val="auto"/>
          <w:sz w:val="32"/>
          <w:szCs w:val="32"/>
        </w:rPr>
        <w:t xml:space="preserve"> </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——熔铸知识产权创造新优势。</w:t>
      </w:r>
      <w:r>
        <w:rPr>
          <w:rFonts w:hint="eastAsia" w:ascii="Times New Roman" w:hAnsi="Times New Roman" w:eastAsia="仿宋"/>
          <w:color w:val="auto"/>
          <w:sz w:val="32"/>
          <w:szCs w:val="32"/>
        </w:rPr>
        <w:t>充分发挥企业知识产权创造的主体地位，引导创新要素向企业集聚，重点支持丽水高新技术产业形成一批自主知识产权，培育一批知识产权优势企业。通过高质量特色化知识产权培育，强化龙头和品牌企业的创新引领作用，创新高校和科研院所激励机制，全面提升知识产权公共服务能力。到</w:t>
      </w:r>
      <w:r>
        <w:rPr>
          <w:rFonts w:ascii="Times New Roman" w:hAnsi="Times New Roman" w:eastAsia="仿宋"/>
          <w:color w:val="auto"/>
          <w:sz w:val="32"/>
          <w:szCs w:val="32"/>
        </w:rPr>
        <w:t>2025年，实现每万人高价值发明专利拥有量</w:t>
      </w:r>
      <w:r>
        <w:rPr>
          <w:rFonts w:hint="eastAsia" w:ascii="Times New Roman" w:hAnsi="Times New Roman" w:eastAsia="仿宋"/>
          <w:color w:val="auto"/>
          <w:sz w:val="32"/>
          <w:szCs w:val="32"/>
        </w:rPr>
        <w:t>达到4</w:t>
      </w:r>
      <w:r>
        <w:rPr>
          <w:rFonts w:ascii="Times New Roman" w:hAnsi="Times New Roman" w:eastAsia="仿宋"/>
          <w:color w:val="auto"/>
          <w:sz w:val="32"/>
          <w:szCs w:val="32"/>
        </w:rPr>
        <w:t>件；</w:t>
      </w:r>
      <w:r>
        <w:rPr>
          <w:rFonts w:hint="eastAsia" w:ascii="Times New Roman" w:hAnsi="Times New Roman" w:eastAsia="仿宋"/>
          <w:color w:val="auto"/>
          <w:sz w:val="32"/>
          <w:szCs w:val="32"/>
        </w:rPr>
        <w:t>海外发明专利授权量达到</w:t>
      </w:r>
      <w:r>
        <w:rPr>
          <w:rFonts w:ascii="Times New Roman" w:hAnsi="Times New Roman" w:eastAsia="仿宋"/>
          <w:color w:val="auto"/>
          <w:sz w:val="32"/>
          <w:szCs w:val="32"/>
        </w:rPr>
        <w:t>40</w:t>
      </w:r>
      <w:r>
        <w:rPr>
          <w:rFonts w:hint="eastAsia" w:ascii="Times New Roman" w:hAnsi="Times New Roman" w:eastAsia="仿宋"/>
          <w:color w:val="auto"/>
          <w:sz w:val="32"/>
          <w:szCs w:val="32"/>
        </w:rPr>
        <w:t>件；地理标志累计数量达到</w:t>
      </w:r>
      <w:r>
        <w:rPr>
          <w:rFonts w:hint="default" w:ascii="Times New Roman" w:hAnsi="Times New Roman" w:eastAsia="仿宋"/>
          <w:color w:val="auto"/>
          <w:sz w:val="32"/>
          <w:szCs w:val="32"/>
        </w:rPr>
        <w:t>55</w:t>
      </w:r>
      <w:r>
        <w:rPr>
          <w:rFonts w:hint="eastAsia" w:ascii="Times New Roman" w:hAnsi="Times New Roman" w:eastAsia="仿宋"/>
          <w:color w:val="auto"/>
          <w:sz w:val="32"/>
          <w:szCs w:val="32"/>
        </w:rPr>
        <w:t>件</w:t>
      </w:r>
      <w:r>
        <w:rPr>
          <w:rFonts w:ascii="Times New Roman" w:hAnsi="Times New Roman" w:eastAsia="仿宋"/>
          <w:color w:val="auto"/>
          <w:sz w:val="32"/>
          <w:szCs w:val="32"/>
        </w:rPr>
        <w:t>。</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——开启知识产权运用新局面。</w:t>
      </w:r>
      <w:r>
        <w:rPr>
          <w:rFonts w:hint="eastAsia" w:ascii="Times New Roman" w:hAnsi="Times New Roman" w:eastAsia="仿宋"/>
          <w:color w:val="auto"/>
          <w:sz w:val="32"/>
          <w:szCs w:val="32"/>
        </w:rPr>
        <w:t>通过强化知识产权产业支撑机制，围绕丽水重点产业、特色产业、新兴产业、集群产业等，进一步拓宽知识产权投融资渠道，鼓励企业技术引进、消化、吸收再创新，促进技术成果转移转化。优先发展丽水生态产业，提升知识产权助力乡村振兴效能。“十四五”期间</w:t>
      </w:r>
      <w:r>
        <w:rPr>
          <w:rFonts w:ascii="Times New Roman" w:hAnsi="Times New Roman" w:eastAsia="仿宋"/>
          <w:color w:val="auto"/>
          <w:sz w:val="32"/>
          <w:szCs w:val="32"/>
        </w:rPr>
        <w:t>，</w:t>
      </w:r>
      <w:r>
        <w:rPr>
          <w:rFonts w:hint="eastAsia" w:ascii="Times New Roman" w:hAnsi="Times New Roman" w:eastAsia="仿宋"/>
          <w:color w:val="auto"/>
          <w:sz w:val="32"/>
          <w:szCs w:val="32"/>
          <w:lang w:eastAsia="zh-Hans"/>
        </w:rPr>
        <w:t>知识产权质押融资</w:t>
      </w:r>
      <w:r>
        <w:rPr>
          <w:rFonts w:hint="eastAsia" w:ascii="Times New Roman" w:hAnsi="Times New Roman" w:eastAsia="仿宋"/>
          <w:color w:val="auto"/>
          <w:sz w:val="32"/>
          <w:szCs w:val="32"/>
        </w:rPr>
        <w:t>金额大幅提升，达到50亿元。</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——筑建知识产权保护新高地。</w:t>
      </w:r>
      <w:r>
        <w:rPr>
          <w:rFonts w:hint="eastAsia" w:ascii="Times New Roman" w:hAnsi="Times New Roman" w:eastAsia="仿宋"/>
          <w:color w:val="auto"/>
          <w:sz w:val="32"/>
          <w:szCs w:val="32"/>
        </w:rPr>
        <w:t>全面提升知识产权保护科学化、系统化和智能化水平。知识产权司法保护、行政保护、仲裁调解、社会监督衔接机制更加完善，尊重知识产权价值的营商环境更加优化。到2</w:t>
      </w:r>
      <w:r>
        <w:rPr>
          <w:rFonts w:ascii="Times New Roman" w:hAnsi="Times New Roman" w:eastAsia="仿宋"/>
          <w:color w:val="auto"/>
          <w:sz w:val="32"/>
          <w:szCs w:val="32"/>
        </w:rPr>
        <w:t>025</w:t>
      </w:r>
      <w:r>
        <w:rPr>
          <w:rFonts w:hint="eastAsia" w:ascii="Times New Roman" w:hAnsi="Times New Roman" w:eastAsia="仿宋"/>
          <w:color w:val="auto"/>
          <w:sz w:val="32"/>
          <w:szCs w:val="32"/>
        </w:rPr>
        <w:t>年，知识产权保护满意度明显提高。</w:t>
      </w:r>
    </w:p>
    <w:p>
      <w:pPr>
        <w:widowControl/>
        <w:spacing w:line="580" w:lineRule="exact"/>
        <w:ind w:firstLine="643" w:firstLineChars="200"/>
        <w:rPr>
          <w:rFonts w:ascii="Times New Roman" w:hAnsi="Times New Roman" w:eastAsia="仿宋"/>
          <w:color w:val="auto"/>
          <w:sz w:val="32"/>
          <w:szCs w:val="32"/>
        </w:rPr>
      </w:pPr>
      <w:r>
        <w:rPr>
          <w:rFonts w:hint="eastAsia" w:ascii="Times New Roman" w:hAnsi="Times New Roman" w:eastAsia="仿宋"/>
          <w:b/>
          <w:bCs/>
          <w:color w:val="auto"/>
          <w:sz w:val="32"/>
          <w:szCs w:val="32"/>
        </w:rPr>
        <w:t>——打造知识产权“新基建”。</w:t>
      </w:r>
      <w:r>
        <w:rPr>
          <w:rFonts w:hint="eastAsia" w:ascii="Times New Roman" w:hAnsi="Times New Roman" w:eastAsia="仿宋"/>
          <w:color w:val="auto"/>
          <w:sz w:val="32"/>
          <w:szCs w:val="32"/>
        </w:rPr>
        <w:t>完善知识产权信用监管体系，提升知识产权数字化服务水平，加强知识产权人才培养，加大知识产权人才招引力度，推进企业、高校、科研院所贯彻实施知识产权管理国际、国家标准，健全知识产权服务支撑体系。到2</w:t>
      </w:r>
      <w:r>
        <w:rPr>
          <w:rFonts w:ascii="Times New Roman" w:hAnsi="Times New Roman" w:eastAsia="仿宋"/>
          <w:color w:val="auto"/>
          <w:sz w:val="32"/>
          <w:szCs w:val="32"/>
        </w:rPr>
        <w:t>025</w:t>
      </w:r>
      <w:r>
        <w:rPr>
          <w:rFonts w:hint="eastAsia" w:ascii="Times New Roman" w:hAnsi="Times New Roman" w:eastAsia="仿宋"/>
          <w:color w:val="auto"/>
          <w:sz w:val="32"/>
          <w:szCs w:val="32"/>
        </w:rPr>
        <w:t>年，全民知识产权素质大幅度提高，公平公正、公开透明、整体智治的知识产权法治环境和市场环境基本形成。</w:t>
      </w:r>
    </w:p>
    <w:p>
      <w:pPr>
        <w:widowControl/>
        <w:spacing w:line="580" w:lineRule="exact"/>
        <w:jc w:val="left"/>
        <w:rPr>
          <w:rFonts w:ascii="Times New Roman" w:hAnsi="Times New Roman" w:eastAsia="黑体" w:cs="黑体"/>
          <w:color w:val="auto"/>
          <w:sz w:val="28"/>
          <w:szCs w:val="28"/>
          <w:lang w:bidi="ar"/>
        </w:rPr>
      </w:pPr>
      <w:r>
        <w:rPr>
          <w:rFonts w:ascii="Times New Roman" w:hAnsi="Times New Roman" w:eastAsia="黑体" w:cs="黑体"/>
          <w:color w:val="auto"/>
          <w:sz w:val="28"/>
          <w:szCs w:val="28"/>
          <w:lang w:bidi="ar"/>
        </w:rPr>
        <w:br w:type="page"/>
      </w:r>
    </w:p>
    <w:p>
      <w:pPr>
        <w:widowControl/>
        <w:spacing w:line="580" w:lineRule="exact"/>
        <w:jc w:val="center"/>
        <w:rPr>
          <w:rFonts w:ascii="Times New Roman" w:hAnsi="Times New Roman" w:eastAsia="宋体" w:cs="宋体"/>
          <w:b/>
          <w:bCs/>
          <w:color w:val="auto"/>
          <w:sz w:val="28"/>
          <w:szCs w:val="28"/>
          <w:lang w:eastAsia="zh-Hans"/>
        </w:rPr>
      </w:pPr>
      <w:r>
        <w:rPr>
          <w:rFonts w:hint="eastAsia" w:ascii="Times New Roman" w:hAnsi="Times New Roman" w:eastAsia="宋体" w:cs="宋体"/>
          <w:b/>
          <w:bCs/>
          <w:color w:val="auto"/>
          <w:sz w:val="28"/>
          <w:szCs w:val="28"/>
          <w:lang w:bidi="ar"/>
        </w:rPr>
        <w:t>表2 丽水市知识产权发展“十四五”规划目标表</w:t>
      </w:r>
    </w:p>
    <w:tbl>
      <w:tblPr>
        <w:tblStyle w:val="13"/>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4536"/>
        <w:gridCol w:w="1134"/>
        <w:gridCol w:w="998"/>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562" w:type="dxa"/>
            <w:shd w:val="clear" w:color="auto" w:fill="auto"/>
            <w:vAlign w:val="center"/>
          </w:tcPr>
          <w:p>
            <w:pPr>
              <w:widowControl/>
              <w:jc w:val="center"/>
              <w:rPr>
                <w:rFonts w:ascii="Times New Roman" w:hAnsi="Times New Roman" w:eastAsia="宋体"/>
                <w:b/>
                <w:bCs/>
                <w:color w:val="auto"/>
                <w:sz w:val="24"/>
                <w:szCs w:val="24"/>
              </w:rPr>
            </w:pPr>
            <w:r>
              <w:rPr>
                <w:rFonts w:hint="eastAsia" w:ascii="Times New Roman" w:hAnsi="Times New Roman" w:eastAsia="宋体"/>
                <w:b/>
                <w:bCs/>
                <w:color w:val="auto"/>
                <w:sz w:val="24"/>
                <w:szCs w:val="24"/>
                <w:lang w:bidi="ar"/>
              </w:rPr>
              <w:t>序号</w:t>
            </w:r>
          </w:p>
        </w:tc>
        <w:tc>
          <w:tcPr>
            <w:tcW w:w="4536" w:type="dxa"/>
            <w:shd w:val="clear" w:color="auto" w:fill="auto"/>
            <w:vAlign w:val="center"/>
          </w:tcPr>
          <w:p>
            <w:pPr>
              <w:widowControl/>
              <w:jc w:val="center"/>
              <w:rPr>
                <w:rFonts w:ascii="Times New Roman" w:hAnsi="Times New Roman" w:eastAsia="宋体"/>
                <w:b/>
                <w:bCs/>
                <w:color w:val="auto"/>
                <w:sz w:val="24"/>
                <w:szCs w:val="24"/>
              </w:rPr>
            </w:pPr>
            <w:r>
              <w:rPr>
                <w:rFonts w:hint="eastAsia" w:ascii="Times New Roman" w:hAnsi="Times New Roman" w:eastAsia="宋体"/>
                <w:b/>
                <w:bCs/>
                <w:color w:val="auto"/>
                <w:sz w:val="24"/>
                <w:szCs w:val="24"/>
                <w:lang w:bidi="ar"/>
              </w:rPr>
              <w:t>主要指标</w:t>
            </w:r>
          </w:p>
        </w:tc>
        <w:tc>
          <w:tcPr>
            <w:tcW w:w="1134" w:type="dxa"/>
            <w:shd w:val="clear" w:color="auto" w:fill="auto"/>
            <w:vAlign w:val="center"/>
          </w:tcPr>
          <w:p>
            <w:pPr>
              <w:widowControl/>
              <w:jc w:val="center"/>
              <w:rPr>
                <w:rFonts w:ascii="Times New Roman" w:hAnsi="Times New Roman" w:eastAsia="宋体"/>
                <w:b/>
                <w:bCs/>
                <w:color w:val="auto"/>
                <w:sz w:val="24"/>
                <w:szCs w:val="24"/>
              </w:rPr>
            </w:pPr>
            <w:r>
              <w:rPr>
                <w:rFonts w:hint="eastAsia" w:ascii="Times New Roman" w:hAnsi="Times New Roman" w:eastAsia="宋体"/>
                <w:b/>
                <w:bCs/>
                <w:color w:val="auto"/>
                <w:sz w:val="24"/>
                <w:szCs w:val="24"/>
                <w:lang w:bidi="ar"/>
              </w:rPr>
              <w:t>2020年实现值</w:t>
            </w:r>
          </w:p>
        </w:tc>
        <w:tc>
          <w:tcPr>
            <w:tcW w:w="998" w:type="dxa"/>
            <w:shd w:val="clear" w:color="auto" w:fill="auto"/>
            <w:vAlign w:val="center"/>
          </w:tcPr>
          <w:p>
            <w:pPr>
              <w:widowControl/>
              <w:jc w:val="center"/>
              <w:rPr>
                <w:rFonts w:ascii="Times New Roman" w:hAnsi="Times New Roman" w:eastAsia="宋体"/>
                <w:b/>
                <w:bCs/>
                <w:color w:val="auto"/>
                <w:sz w:val="24"/>
                <w:szCs w:val="24"/>
              </w:rPr>
            </w:pPr>
            <w:r>
              <w:rPr>
                <w:rFonts w:hint="eastAsia" w:ascii="Times New Roman" w:hAnsi="Times New Roman" w:eastAsia="宋体"/>
                <w:b/>
                <w:bCs/>
                <w:color w:val="auto"/>
                <w:sz w:val="24"/>
                <w:szCs w:val="24"/>
                <w:lang w:bidi="ar"/>
              </w:rPr>
              <w:t>2025年目标值</w:t>
            </w:r>
          </w:p>
        </w:tc>
        <w:tc>
          <w:tcPr>
            <w:tcW w:w="987" w:type="dxa"/>
            <w:shd w:val="clear" w:color="auto" w:fill="auto"/>
            <w:vAlign w:val="center"/>
          </w:tcPr>
          <w:p>
            <w:pPr>
              <w:widowControl/>
              <w:jc w:val="center"/>
              <w:rPr>
                <w:rFonts w:ascii="Times New Roman" w:hAnsi="Times New Roman" w:eastAsia="宋体"/>
                <w:b/>
                <w:bCs/>
                <w:color w:val="auto"/>
                <w:sz w:val="24"/>
                <w:szCs w:val="24"/>
                <w:lang w:bidi="ar"/>
              </w:rPr>
            </w:pPr>
            <w:r>
              <w:rPr>
                <w:rFonts w:hint="eastAsia" w:ascii="Times New Roman" w:hAnsi="Times New Roman" w:eastAsia="宋体"/>
                <w:b/>
                <w:bCs/>
                <w:color w:val="auto"/>
                <w:sz w:val="24"/>
                <w:szCs w:val="24"/>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1</w:t>
            </w:r>
          </w:p>
        </w:tc>
        <w:tc>
          <w:tcPr>
            <w:tcW w:w="4536"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lang w:bidi="ar"/>
              </w:rPr>
              <w:t>每万人高价值发明专利拥有量（件）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lang w:bidi="ar"/>
              </w:rPr>
              <w:t>2.4</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4</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当年度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2</w:t>
            </w:r>
          </w:p>
        </w:tc>
        <w:tc>
          <w:tcPr>
            <w:tcW w:w="4536"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五大集群产业有效发明专利拥有量（件）</w:t>
            </w:r>
          </w:p>
        </w:tc>
        <w:tc>
          <w:tcPr>
            <w:tcW w:w="1134"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1421</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2000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当年度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3</w:t>
            </w:r>
          </w:p>
        </w:tc>
        <w:tc>
          <w:tcPr>
            <w:tcW w:w="4536"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lang w:bidi="ar"/>
              </w:rPr>
              <w:t>海外发明专利授权量（件）</w:t>
            </w:r>
          </w:p>
        </w:tc>
        <w:tc>
          <w:tcPr>
            <w:tcW w:w="1134"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25</w:t>
            </w:r>
          </w:p>
        </w:tc>
        <w:tc>
          <w:tcPr>
            <w:tcW w:w="998"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40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4</w:t>
            </w:r>
          </w:p>
        </w:tc>
        <w:tc>
          <w:tcPr>
            <w:tcW w:w="4536"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有效发明专利数量（件）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1980</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3000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5</w:t>
            </w:r>
          </w:p>
        </w:tc>
        <w:tc>
          <w:tcPr>
            <w:tcW w:w="4536"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马德里国际注册商标拥有量（件）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101</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150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6</w:t>
            </w:r>
          </w:p>
        </w:tc>
        <w:tc>
          <w:tcPr>
            <w:tcW w:w="4536"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有效注册商标量（件）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62607</w:t>
            </w:r>
          </w:p>
        </w:tc>
        <w:tc>
          <w:tcPr>
            <w:tcW w:w="998" w:type="dxa"/>
            <w:shd w:val="clear" w:color="auto" w:fill="auto"/>
            <w:vAlign w:val="center"/>
          </w:tcPr>
          <w:p>
            <w:pPr>
              <w:widowControl/>
              <w:jc w:val="center"/>
              <w:rPr>
                <w:rFonts w:ascii="仿宋" w:hAnsi="仿宋" w:eastAsia="仿宋"/>
                <w:color w:val="auto"/>
                <w:sz w:val="24"/>
                <w:szCs w:val="24"/>
              </w:rPr>
            </w:pPr>
            <w:r>
              <w:rPr>
                <w:rFonts w:ascii="仿宋" w:hAnsi="仿宋" w:eastAsia="仿宋" w:cs="Times New Roman"/>
                <w:color w:val="auto"/>
                <w:kern w:val="0"/>
                <w:sz w:val="24"/>
                <w:szCs w:val="24"/>
                <w:lang w:val="en"/>
              </w:rPr>
              <w:t>110000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7</w:t>
            </w:r>
          </w:p>
        </w:tc>
        <w:tc>
          <w:tcPr>
            <w:tcW w:w="4536"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lang w:bidi="ar"/>
              </w:rPr>
              <w:t>地理标志数量（件）</w:t>
            </w:r>
          </w:p>
        </w:tc>
        <w:tc>
          <w:tcPr>
            <w:tcW w:w="1134" w:type="dxa"/>
            <w:shd w:val="clear" w:color="auto" w:fill="auto"/>
            <w:vAlign w:val="center"/>
          </w:tcPr>
          <w:p>
            <w:pPr>
              <w:widowControl/>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44</w:t>
            </w:r>
          </w:p>
        </w:tc>
        <w:tc>
          <w:tcPr>
            <w:tcW w:w="998" w:type="dxa"/>
            <w:shd w:val="clear" w:color="auto" w:fill="auto"/>
            <w:vAlign w:val="center"/>
          </w:tcPr>
          <w:p>
            <w:pPr>
              <w:widowControl/>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55</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8</w:t>
            </w:r>
          </w:p>
        </w:tc>
        <w:tc>
          <w:tcPr>
            <w:tcW w:w="4536"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作品著作权登记量（件）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7</w:t>
            </w:r>
            <w:r>
              <w:rPr>
                <w:rFonts w:ascii="仿宋" w:hAnsi="仿宋" w:eastAsia="仿宋"/>
                <w:color w:val="auto"/>
                <w:sz w:val="24"/>
                <w:szCs w:val="24"/>
              </w:rPr>
              <w:t>6</w:t>
            </w:r>
          </w:p>
        </w:tc>
        <w:tc>
          <w:tcPr>
            <w:tcW w:w="998" w:type="dxa"/>
            <w:shd w:val="clear" w:color="auto" w:fill="auto"/>
            <w:vAlign w:val="center"/>
          </w:tcPr>
          <w:p>
            <w:pPr>
              <w:widowControl/>
              <w:jc w:val="center"/>
              <w:rPr>
                <w:rFonts w:hint="default" w:ascii="仿宋" w:hAnsi="仿宋" w:eastAsia="仿宋"/>
                <w:color w:val="auto"/>
                <w:sz w:val="24"/>
                <w:szCs w:val="24"/>
                <w:lang w:val="en-US" w:eastAsia="zh-CN"/>
              </w:rPr>
            </w:pPr>
            <w:r>
              <w:rPr>
                <w:rFonts w:hint="eastAsia" w:ascii="仿宋" w:hAnsi="仿宋" w:eastAsia="仿宋"/>
                <w:color w:val="auto"/>
                <w:sz w:val="24"/>
                <w:szCs w:val="24"/>
                <w:lang w:val="en-US" w:eastAsia="zh-CN"/>
              </w:rPr>
              <w:t>200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当年度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9</w:t>
            </w:r>
          </w:p>
        </w:tc>
        <w:tc>
          <w:tcPr>
            <w:tcW w:w="4536"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lang w:bidi="ar"/>
              </w:rPr>
              <w:t>知识产权质押融资登记额（亿元）</w:t>
            </w:r>
          </w:p>
        </w:tc>
        <w:tc>
          <w:tcPr>
            <w:tcW w:w="1134"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20.04</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50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0</w:t>
            </w:r>
          </w:p>
        </w:tc>
        <w:tc>
          <w:tcPr>
            <w:tcW w:w="4536" w:type="dxa"/>
            <w:shd w:val="clear" w:color="auto" w:fill="auto"/>
            <w:vAlign w:val="center"/>
          </w:tcPr>
          <w:p>
            <w:pPr>
              <w:widowControl/>
              <w:jc w:val="center"/>
              <w:rPr>
                <w:rFonts w:ascii="仿宋" w:hAnsi="仿宋" w:eastAsia="仿宋"/>
                <w:color w:val="auto"/>
                <w:sz w:val="24"/>
                <w:szCs w:val="24"/>
                <w:lang w:bidi="ar"/>
              </w:rPr>
            </w:pPr>
            <w:r>
              <w:rPr>
                <w:rFonts w:ascii="仿宋" w:hAnsi="仿宋" w:eastAsia="仿宋"/>
                <w:color w:val="auto"/>
                <w:sz w:val="24"/>
                <w:szCs w:val="24"/>
                <w:lang w:bidi="ar"/>
              </w:rPr>
              <w:t>专利权转让、许可数量（件）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87</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150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s="Times New Roman"/>
                <w:color w:val="auto"/>
                <w:kern w:val="0"/>
                <w:sz w:val="24"/>
                <w:szCs w:val="24"/>
                <w:lang w:bidi="ar"/>
              </w:rPr>
              <w:t>当年度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1</w:t>
            </w:r>
          </w:p>
        </w:tc>
        <w:tc>
          <w:tcPr>
            <w:tcW w:w="4536"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国家级知识产权保护平台数量（家）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0</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1</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s="Times New Roman"/>
                <w:color w:val="auto"/>
                <w:kern w:val="0"/>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ascii="仿宋" w:hAnsi="仿宋" w:eastAsia="仿宋"/>
                <w:color w:val="auto"/>
                <w:sz w:val="24"/>
                <w:szCs w:val="24"/>
              </w:rPr>
              <w:t>12</w:t>
            </w:r>
          </w:p>
        </w:tc>
        <w:tc>
          <w:tcPr>
            <w:tcW w:w="4536"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lang w:bidi="ar"/>
              </w:rPr>
              <w:t>产业知识产权联盟（家）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6</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3</w:t>
            </w:r>
          </w:p>
        </w:tc>
        <w:tc>
          <w:tcPr>
            <w:tcW w:w="4536"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省级以上知识产权优势示范企业（家）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58</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75</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4</w:t>
            </w:r>
          </w:p>
        </w:tc>
        <w:tc>
          <w:tcPr>
            <w:tcW w:w="4536" w:type="dxa"/>
            <w:shd w:val="clear" w:color="auto" w:fill="auto"/>
            <w:vAlign w:val="center"/>
          </w:tcPr>
          <w:p>
            <w:pPr>
              <w:widowControl/>
              <w:jc w:val="center"/>
              <w:rPr>
                <w:rFonts w:ascii="仿宋" w:hAnsi="仿宋" w:eastAsia="仿宋"/>
                <w:color w:val="auto"/>
                <w:sz w:val="24"/>
                <w:szCs w:val="24"/>
                <w:lang w:eastAsia="zh-Hans"/>
              </w:rPr>
            </w:pPr>
            <w:r>
              <w:rPr>
                <w:rFonts w:hint="eastAsia" w:ascii="仿宋" w:hAnsi="仿宋" w:eastAsia="仿宋"/>
                <w:color w:val="auto"/>
                <w:sz w:val="24"/>
                <w:szCs w:val="24"/>
              </w:rPr>
              <w:t>专利代理机构备案数</w:t>
            </w:r>
            <w:r>
              <w:rPr>
                <w:rFonts w:hint="eastAsia" w:ascii="仿宋" w:hAnsi="仿宋" w:eastAsia="仿宋"/>
                <w:color w:val="auto"/>
                <w:sz w:val="24"/>
                <w:szCs w:val="24"/>
                <w:lang w:eastAsia="zh-Hans"/>
              </w:rPr>
              <w:t>（家）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7</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12</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5</w:t>
            </w:r>
          </w:p>
        </w:tc>
        <w:tc>
          <w:tcPr>
            <w:tcW w:w="4536" w:type="dxa"/>
            <w:shd w:val="clear" w:color="auto" w:fill="auto"/>
            <w:vAlign w:val="center"/>
          </w:tcPr>
          <w:p>
            <w:pPr>
              <w:widowControl/>
              <w:jc w:val="center"/>
              <w:rPr>
                <w:rFonts w:ascii="仿宋" w:hAnsi="仿宋" w:eastAsia="仿宋"/>
                <w:color w:val="auto"/>
                <w:sz w:val="24"/>
                <w:szCs w:val="24"/>
                <w:lang w:eastAsia="zh-Hans"/>
              </w:rPr>
            </w:pPr>
            <w:r>
              <w:rPr>
                <w:rFonts w:hint="eastAsia" w:ascii="仿宋" w:hAnsi="仿宋" w:eastAsia="仿宋"/>
                <w:color w:val="auto"/>
                <w:sz w:val="24"/>
                <w:szCs w:val="24"/>
                <w:lang w:eastAsia="zh-Hans"/>
              </w:rPr>
              <w:t>省级商标品牌指导服务站（家）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6</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15</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16</w:t>
            </w:r>
          </w:p>
        </w:tc>
        <w:tc>
          <w:tcPr>
            <w:tcW w:w="4536" w:type="dxa"/>
            <w:shd w:val="clear" w:color="auto" w:fill="auto"/>
            <w:vAlign w:val="center"/>
          </w:tcPr>
          <w:p>
            <w:pPr>
              <w:widowControl/>
              <w:jc w:val="center"/>
              <w:rPr>
                <w:rFonts w:ascii="仿宋" w:hAnsi="仿宋" w:eastAsia="仿宋"/>
                <w:color w:val="auto"/>
                <w:sz w:val="24"/>
                <w:szCs w:val="24"/>
                <w:lang w:eastAsia="zh-Hans"/>
              </w:rPr>
            </w:pPr>
            <w:r>
              <w:rPr>
                <w:rFonts w:hint="eastAsia" w:ascii="仿宋" w:hAnsi="仿宋" w:eastAsia="仿宋"/>
                <w:color w:val="auto"/>
                <w:sz w:val="24"/>
                <w:szCs w:val="24"/>
                <w:lang w:bidi="ar"/>
              </w:rPr>
              <w:t>市级以上商业秘密保护示范基地（家）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67</w:t>
            </w:r>
          </w:p>
        </w:tc>
        <w:tc>
          <w:tcPr>
            <w:tcW w:w="998"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110</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s="Times New Roman"/>
                <w:color w:val="auto"/>
                <w:kern w:val="0"/>
                <w:sz w:val="24"/>
                <w:szCs w:val="24"/>
                <w:lang w:bidi="ar"/>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562"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7</w:t>
            </w:r>
          </w:p>
        </w:tc>
        <w:tc>
          <w:tcPr>
            <w:tcW w:w="4536"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olor w:val="auto"/>
                <w:sz w:val="24"/>
                <w:szCs w:val="24"/>
                <w:lang w:bidi="ar"/>
              </w:rPr>
              <w:t>知识产权服务业集聚区（家）</w:t>
            </w:r>
          </w:p>
        </w:tc>
        <w:tc>
          <w:tcPr>
            <w:tcW w:w="1134" w:type="dxa"/>
            <w:shd w:val="clear" w:color="auto" w:fill="auto"/>
            <w:vAlign w:val="center"/>
          </w:tcPr>
          <w:p>
            <w:pPr>
              <w:widowControl/>
              <w:jc w:val="center"/>
              <w:rPr>
                <w:rFonts w:ascii="仿宋" w:hAnsi="仿宋" w:eastAsia="仿宋"/>
                <w:color w:val="auto"/>
                <w:sz w:val="24"/>
                <w:szCs w:val="24"/>
              </w:rPr>
            </w:pPr>
            <w:r>
              <w:rPr>
                <w:rFonts w:hint="eastAsia" w:ascii="仿宋" w:hAnsi="仿宋" w:eastAsia="仿宋" w:cs="Times New Roman"/>
                <w:color w:val="auto"/>
                <w:kern w:val="0"/>
                <w:sz w:val="24"/>
                <w:szCs w:val="24"/>
              </w:rPr>
              <w:t>0</w:t>
            </w:r>
          </w:p>
        </w:tc>
        <w:tc>
          <w:tcPr>
            <w:tcW w:w="998" w:type="dxa"/>
            <w:shd w:val="clear" w:color="auto" w:fill="auto"/>
            <w:vAlign w:val="center"/>
          </w:tcPr>
          <w:p>
            <w:pPr>
              <w:widowControl/>
              <w:jc w:val="center"/>
              <w:rPr>
                <w:rFonts w:hint="eastAsia" w:ascii="仿宋" w:hAnsi="仿宋" w:eastAsia="仿宋"/>
                <w:color w:val="auto"/>
                <w:sz w:val="24"/>
                <w:szCs w:val="24"/>
                <w:lang w:eastAsia="zh-CN"/>
              </w:rPr>
            </w:pPr>
            <w:r>
              <w:rPr>
                <w:rFonts w:hint="eastAsia" w:ascii="仿宋" w:hAnsi="仿宋" w:eastAsia="仿宋" w:cs="Times New Roman"/>
                <w:color w:val="auto"/>
                <w:kern w:val="0"/>
                <w:sz w:val="24"/>
                <w:szCs w:val="24"/>
                <w:lang w:val="en-US" w:eastAsia="zh-CN"/>
              </w:rPr>
              <w:t>1</w:t>
            </w:r>
          </w:p>
        </w:tc>
        <w:tc>
          <w:tcPr>
            <w:tcW w:w="987" w:type="dxa"/>
            <w:shd w:val="clear" w:color="auto" w:fill="auto"/>
            <w:vAlign w:val="center"/>
          </w:tcPr>
          <w:p>
            <w:pPr>
              <w:widowControl/>
              <w:jc w:val="center"/>
              <w:rPr>
                <w:rFonts w:ascii="仿宋" w:hAnsi="仿宋" w:eastAsia="仿宋"/>
                <w:color w:val="auto"/>
                <w:sz w:val="24"/>
                <w:szCs w:val="24"/>
                <w:lang w:bidi="ar"/>
              </w:rPr>
            </w:pPr>
            <w:r>
              <w:rPr>
                <w:rFonts w:hint="eastAsia" w:ascii="仿宋" w:hAnsi="仿宋" w:eastAsia="仿宋" w:cs="Times New Roman"/>
                <w:color w:val="auto"/>
                <w:kern w:val="0"/>
                <w:sz w:val="24"/>
                <w:szCs w:val="24"/>
                <w:lang w:bidi="ar"/>
              </w:rPr>
              <w:t>累计</w:t>
            </w:r>
          </w:p>
        </w:tc>
      </w:tr>
    </w:tbl>
    <w:p>
      <w:pPr>
        <w:pStyle w:val="3"/>
        <w:widowControl/>
        <w:spacing w:before="0" w:after="0" w:line="580" w:lineRule="exact"/>
        <w:ind w:firstLine="643" w:firstLineChars="200"/>
        <w:rPr>
          <w:rFonts w:ascii="Times New Roman" w:hAnsi="Times New Roman" w:eastAsia="黑体"/>
          <w:color w:val="auto"/>
          <w:sz w:val="32"/>
          <w:szCs w:val="32"/>
        </w:rPr>
      </w:pPr>
      <w:bookmarkStart w:id="9" w:name="_Toc1905"/>
      <w:bookmarkStart w:id="10" w:name="_Toc80863149"/>
      <w:r>
        <w:rPr>
          <w:rFonts w:hint="eastAsia" w:ascii="Times New Roman" w:hAnsi="Times New Roman" w:eastAsia="黑体"/>
          <w:color w:val="auto"/>
          <w:sz w:val="32"/>
          <w:szCs w:val="32"/>
        </w:rPr>
        <w:t>二、改革创新，构建知识产权治理新体系</w:t>
      </w:r>
      <w:bookmarkEnd w:id="9"/>
      <w:bookmarkEnd w:id="10"/>
      <w:r>
        <w:rPr>
          <w:rFonts w:ascii="Times New Roman" w:hAnsi="Times New Roman" w:eastAsia="黑体"/>
          <w:color w:val="auto"/>
          <w:sz w:val="32"/>
          <w:szCs w:val="32"/>
        </w:rPr>
        <w:tab/>
      </w:r>
    </w:p>
    <w:p>
      <w:pPr>
        <w:pStyle w:val="4"/>
        <w:widowControl/>
        <w:spacing w:before="0" w:after="0" w:line="580" w:lineRule="exact"/>
        <w:ind w:firstLine="643" w:firstLineChars="200"/>
        <w:rPr>
          <w:rFonts w:ascii="Times New Roman" w:hAnsi="Times New Roman" w:eastAsia="楷体"/>
          <w:color w:val="auto"/>
        </w:rPr>
      </w:pPr>
      <w:bookmarkStart w:id="11" w:name="_Toc80863150"/>
      <w:bookmarkStart w:id="12" w:name="_Toc4458"/>
      <w:r>
        <w:rPr>
          <w:rFonts w:hint="eastAsia" w:ascii="Times New Roman" w:hAnsi="Times New Roman" w:eastAsia="楷体"/>
          <w:color w:val="auto"/>
        </w:rPr>
        <w:t>（一）深入推进知识产权体制机制改革</w:t>
      </w:r>
      <w:bookmarkEnd w:id="11"/>
      <w:bookmarkEnd w:id="12"/>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深化知识产权综合管理改革。打通知识产权创造、运用、保护、管理和服务全链条，实现从“部门行政”到“公共治理”转变。充分发挥丽水市知识产权工作领导小组制度作用，建立常态化部门合作机制。推进知识产权“一件事”集成改革。推进优化专利、商标、版权、地理标志、商业秘密等多门类知识产权的综合管理体制，在</w:t>
      </w:r>
      <w:r>
        <w:rPr>
          <w:rFonts w:hint="eastAsia" w:ascii="Times New Roman" w:hAnsi="Times New Roman" w:eastAsia="仿宋"/>
          <w:color w:val="auto"/>
          <w:sz w:val="32"/>
          <w:szCs w:val="32"/>
          <w:lang w:eastAsia="zh-Hans"/>
        </w:rPr>
        <w:t>青瓷</w:t>
      </w:r>
      <w:r>
        <w:rPr>
          <w:rFonts w:ascii="Times New Roman" w:hAnsi="Times New Roman" w:eastAsia="仿宋"/>
          <w:color w:val="auto"/>
          <w:sz w:val="32"/>
          <w:szCs w:val="32"/>
          <w:lang w:eastAsia="zh-Hans"/>
        </w:rPr>
        <w:t>、</w:t>
      </w:r>
      <w:r>
        <w:rPr>
          <w:rFonts w:hint="eastAsia" w:ascii="Times New Roman" w:hAnsi="Times New Roman" w:eastAsia="仿宋"/>
          <w:color w:val="auto"/>
          <w:sz w:val="32"/>
          <w:szCs w:val="32"/>
        </w:rPr>
        <w:t>木制玩具等领域试点开展外观设计专利、版权等涉及创意的知识产权综合管理模式。加快推进“生态丽水”知识产权体系建设，按照“标准化、全链条、一站式”的要求，简化工作流程，提高知识产权综合服务效能。积极推进“双随机、一公开”监管模式，着力提升知识产权监管的公平性、规范性和有效性。持续推进建立知识产权综合化监管机制。深入推进“大综合、一体化”知识产权行政执法机制改革，构建全过程知识产权管理体系和全闭环知识产权行政执法体系。</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ascii="Times New Roman" w:hAnsi="Times New Roman" w:eastAsia="仿宋_GB2312" w:cs="仿宋_GB2312"/>
                <w:b/>
                <w:bCs/>
                <w:color w:val="auto"/>
                <w:sz w:val="28"/>
                <w:szCs w:val="28"/>
              </w:rPr>
              <w:t>专栏1：知识产权保护“一件事”集成改革工程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widowControl/>
              <w:spacing w:line="336" w:lineRule="auto"/>
              <w:ind w:firstLine="560"/>
              <w:rPr>
                <w:color w:val="auto"/>
                <w:sz w:val="28"/>
                <w:szCs w:val="28"/>
              </w:rPr>
            </w:pPr>
            <w:r>
              <w:rPr>
                <w:rFonts w:hint="eastAsia"/>
                <w:color w:val="auto"/>
                <w:sz w:val="28"/>
                <w:szCs w:val="28"/>
              </w:rPr>
              <w:t>——大力推进丽水相关主体使用“浙江知识产权在线”综合应用系统，借势打造</w:t>
            </w:r>
            <w:r>
              <w:rPr>
                <w:rFonts w:hint="eastAsia"/>
                <w:color w:val="auto"/>
                <w:sz w:val="28"/>
                <w:szCs w:val="28"/>
                <w:lang w:eastAsia="zh-Hans"/>
              </w:rPr>
              <w:t>丽水</w:t>
            </w:r>
            <w:r>
              <w:rPr>
                <w:rFonts w:hint="eastAsia"/>
                <w:color w:val="auto"/>
                <w:sz w:val="28"/>
                <w:szCs w:val="28"/>
              </w:rPr>
              <w:t>市知识产权“一件事”综合服务平台，集成专利、商标、版权、地理标志、商业秘密等知识产权办事事项，推进知识产权“一件事”“一张网”办理，实现知识产权创造、运用、保护、管理、服务全流程“最多跑一次”。</w:t>
            </w:r>
          </w:p>
          <w:p>
            <w:pPr>
              <w:pStyle w:val="27"/>
              <w:widowControl/>
              <w:spacing w:line="336" w:lineRule="auto"/>
              <w:ind w:firstLine="560"/>
              <w:rPr>
                <w:color w:val="auto"/>
                <w:sz w:val="28"/>
                <w:szCs w:val="28"/>
              </w:rPr>
            </w:pPr>
            <w:r>
              <w:rPr>
                <w:rFonts w:hint="eastAsia"/>
                <w:color w:val="auto"/>
                <w:sz w:val="28"/>
                <w:szCs w:val="28"/>
              </w:rPr>
              <w:t>——建设市域知识产权大数据中心。借势国家改革和省数字化改革，打通国家、省、市、县各层级，市场监管、司法、法院、版权、文旅、海关、农业、林业等各部门的知识产权服务节点，推动创新主体、服务平台、专家人才、行政监管、执法司法等数据互通共享，为知识产权整体智治、高效协同提供强有力的数据支撑。</w:t>
            </w:r>
          </w:p>
          <w:p>
            <w:pPr>
              <w:pStyle w:val="27"/>
              <w:widowControl/>
              <w:spacing w:line="336" w:lineRule="auto"/>
              <w:ind w:firstLine="560"/>
              <w:rPr>
                <w:color w:val="auto"/>
                <w:sz w:val="28"/>
                <w:szCs w:val="28"/>
              </w:rPr>
            </w:pPr>
            <w:r>
              <w:rPr>
                <w:rFonts w:hint="eastAsia"/>
                <w:color w:val="auto"/>
                <w:sz w:val="28"/>
                <w:szCs w:val="28"/>
                <w:lang w:eastAsia="zh-Hans"/>
              </w:rPr>
              <w:t>——</w:t>
            </w:r>
            <w:r>
              <w:rPr>
                <w:rFonts w:hint="eastAsia"/>
                <w:color w:val="auto"/>
                <w:sz w:val="28"/>
                <w:szCs w:val="28"/>
              </w:rPr>
              <w:t>推进“生态丽水”知识产权体系建设，在木制玩具等领域试点开展外观设计专利、版权等涉及创意的知识产权综合管理模式。</w:t>
            </w:r>
            <w:r>
              <w:rPr>
                <w:color w:val="auto"/>
                <w:sz w:val="28"/>
                <w:szCs w:val="28"/>
              </w:rPr>
              <w:t>全面推进知识产权公共服务“减事项、减环节、减材料、减次数、减时间、减费用”，推行“一套材料、一次告知、一表申请、一窗受理、一网通办、一次办结”，让知识产权数据在网上多跑路、群众少跑路，实现知识产权网上办事“最多跑一次”“零见面”。</w:t>
            </w:r>
            <w:r>
              <w:rPr>
                <w:rFonts w:hint="eastAsia"/>
                <w:color w:val="auto"/>
                <w:sz w:val="28"/>
                <w:szCs w:val="28"/>
              </w:rPr>
              <w:t xml:space="preserve"> </w:t>
            </w:r>
          </w:p>
        </w:tc>
      </w:tr>
    </w:tbl>
    <w:p>
      <w:pPr>
        <w:pStyle w:val="4"/>
        <w:widowControl/>
        <w:spacing w:before="0" w:after="0" w:line="580" w:lineRule="exact"/>
        <w:ind w:firstLine="643" w:firstLineChars="200"/>
        <w:rPr>
          <w:rFonts w:ascii="Times New Roman" w:hAnsi="Times New Roman" w:eastAsia="楷体"/>
          <w:color w:val="auto"/>
        </w:rPr>
      </w:pPr>
      <w:bookmarkStart w:id="13" w:name="_Toc7377"/>
      <w:bookmarkStart w:id="14" w:name="_Toc80863151"/>
      <w:r>
        <w:rPr>
          <w:rFonts w:hint="eastAsia" w:ascii="Times New Roman" w:hAnsi="Times New Roman" w:eastAsia="楷体"/>
          <w:color w:val="auto"/>
        </w:rPr>
        <w:t>（二）完善知识产权政策法规体系</w:t>
      </w:r>
      <w:bookmarkEnd w:id="13"/>
      <w:bookmarkEnd w:id="14"/>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认真贯彻实施</w:t>
      </w:r>
      <w:r>
        <w:rPr>
          <w:rFonts w:hint="eastAsia" w:ascii="Times New Roman" w:hAnsi="Times New Roman" w:eastAsia="仿宋"/>
          <w:color w:val="auto"/>
          <w:sz w:val="32"/>
          <w:szCs w:val="32"/>
          <w:lang w:eastAsia="zh-CN"/>
        </w:rPr>
        <w:t>《中华人民共和国专利法》《中华人民共和国商标法》《中华人民共和国著作权法》《中华人民共和国反不正当竞争法》</w:t>
      </w:r>
      <w:r>
        <w:rPr>
          <w:rFonts w:hint="eastAsia" w:ascii="Times New Roman" w:hAnsi="Times New Roman" w:eastAsia="仿宋"/>
          <w:color w:val="auto"/>
          <w:sz w:val="32"/>
          <w:szCs w:val="32"/>
        </w:rPr>
        <w:t>等。</w:t>
      </w:r>
      <w:r>
        <w:rPr>
          <w:rFonts w:hint="eastAsia" w:ascii="Times New Roman" w:hAnsi="Times New Roman" w:eastAsia="仿宋"/>
          <w:color w:val="auto"/>
          <w:sz w:val="32"/>
          <w:szCs w:val="32"/>
          <w:lang w:eastAsia="zh-Hans"/>
        </w:rPr>
        <w:t>认真贯彻省市知识产权方针政策，</w:t>
      </w:r>
      <w:r>
        <w:rPr>
          <w:rFonts w:hint="eastAsia" w:ascii="Times New Roman" w:hAnsi="Times New Roman" w:eastAsia="仿宋"/>
          <w:color w:val="auto"/>
          <w:sz w:val="32"/>
          <w:szCs w:val="32"/>
        </w:rPr>
        <w:t>进一步落实</w:t>
      </w:r>
      <w:r>
        <w:rPr>
          <w:rFonts w:hint="eastAsia" w:ascii="Times New Roman" w:hAnsi="Times New Roman" w:eastAsia="仿宋"/>
          <w:color w:val="auto"/>
          <w:sz w:val="32"/>
          <w:szCs w:val="32"/>
          <w:lang w:eastAsia="zh-Hans"/>
        </w:rPr>
        <w:t>省委省政府</w:t>
      </w:r>
      <w:r>
        <w:rPr>
          <w:rFonts w:hint="eastAsia" w:ascii="Times New Roman" w:hAnsi="Times New Roman" w:eastAsia="仿宋"/>
          <w:color w:val="auto"/>
          <w:sz w:val="32"/>
          <w:szCs w:val="32"/>
        </w:rPr>
        <w:t>《关于全面强化知识产权工作的意见》</w:t>
      </w:r>
      <w:r>
        <w:rPr>
          <w:rFonts w:hint="eastAsia" w:ascii="Times New Roman" w:hAnsi="Times New Roman" w:eastAsia="仿宋" w:cs="仿宋_GB2312"/>
          <w:color w:val="auto"/>
          <w:sz w:val="32"/>
          <w:szCs w:val="32"/>
        </w:rPr>
        <w:t>《丽水市全方位深度接轨上海高质量融入长三角区域一体化发展行动方案》《丽水市知识产权工作三年行动计划（2020-2022）》</w:t>
      </w:r>
      <w:r>
        <w:rPr>
          <w:rFonts w:hint="eastAsia" w:ascii="Times New Roman" w:hAnsi="Times New Roman" w:eastAsia="仿宋"/>
          <w:color w:val="auto"/>
          <w:sz w:val="32"/>
          <w:szCs w:val="32"/>
        </w:rPr>
        <w:t>等</w:t>
      </w:r>
      <w:r>
        <w:rPr>
          <w:rFonts w:hint="eastAsia" w:ascii="Times New Roman" w:hAnsi="Times New Roman" w:eastAsia="仿宋"/>
          <w:color w:val="auto"/>
          <w:sz w:val="32"/>
          <w:szCs w:val="32"/>
          <w:lang w:eastAsia="zh-Hans"/>
        </w:rPr>
        <w:t>制度政策</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eastAsia="zh-Hans"/>
        </w:rPr>
        <w:t>科学制定丽水市知识产权战略纲要。</w:t>
      </w:r>
      <w:r>
        <w:rPr>
          <w:rFonts w:hint="eastAsia" w:ascii="Times New Roman" w:hAnsi="Times New Roman" w:eastAsia="仿宋"/>
          <w:color w:val="auto"/>
          <w:sz w:val="32"/>
          <w:szCs w:val="32"/>
        </w:rPr>
        <w:t>研究制定面向2035年的丽水市知识产权强市战略纲要，探索制定综合性知识产权保护地方性法规和政策。建立“生态丽水”的知识产权政策体系，统筹优化全市涉及知识产权创造、保护、运用等环节的激励政策，形成有利于区域特色发展的知识产权高质量创造、高效率运用、高水平保护的政策导向。</w:t>
      </w:r>
      <w:r>
        <w:rPr>
          <w:rFonts w:hint="eastAsia" w:ascii="Times New Roman" w:hAnsi="Times New Roman" w:eastAsia="仿宋"/>
          <w:color w:val="auto"/>
          <w:sz w:val="32"/>
          <w:szCs w:val="32"/>
          <w:lang w:eastAsia="zh-Hans"/>
        </w:rPr>
        <w:t>切实推进知识产权政策协同。</w:t>
      </w:r>
      <w:r>
        <w:rPr>
          <w:rFonts w:hint="eastAsia" w:ascii="Times New Roman" w:hAnsi="Times New Roman" w:eastAsia="仿宋"/>
          <w:color w:val="auto"/>
          <w:sz w:val="32"/>
          <w:szCs w:val="32"/>
        </w:rPr>
        <w:t>鼓励各县（市、区）针对本地特色产业制定相关知识产权政策，加强跨部门协同</w:t>
      </w:r>
      <w:r>
        <w:rPr>
          <w:rFonts w:hint="eastAsia" w:ascii="Times New Roman" w:hAnsi="Times New Roman" w:eastAsia="仿宋"/>
          <w:color w:val="auto"/>
          <w:sz w:val="32"/>
          <w:szCs w:val="32"/>
          <w:lang w:eastAsia="zh-Hans"/>
        </w:rPr>
        <w:t>治理</w:t>
      </w:r>
      <w:r>
        <w:rPr>
          <w:rFonts w:hint="eastAsia" w:ascii="Times New Roman" w:hAnsi="Times New Roman" w:eastAsia="仿宋"/>
          <w:color w:val="auto"/>
          <w:sz w:val="32"/>
          <w:szCs w:val="32"/>
        </w:rPr>
        <w:t>，释放叠加效应。充分发挥丽水国家知识产权</w:t>
      </w:r>
      <w:r>
        <w:rPr>
          <w:rFonts w:hint="eastAsia" w:ascii="Times New Roman" w:hAnsi="Times New Roman" w:eastAsia="仿宋"/>
          <w:color w:val="auto"/>
          <w:sz w:val="32"/>
          <w:szCs w:val="32"/>
          <w:lang w:eastAsia="zh-Hans"/>
        </w:rPr>
        <w:t>试点城市</w:t>
      </w:r>
      <w:r>
        <w:rPr>
          <w:rFonts w:hint="eastAsia" w:ascii="Times New Roman" w:hAnsi="Times New Roman" w:eastAsia="仿宋"/>
          <w:color w:val="auto"/>
          <w:sz w:val="32"/>
          <w:szCs w:val="32"/>
        </w:rPr>
        <w:t>建设良好基础，促进知识产权部门与发改、经信、科技、教育、财政、人力资源、金融、农业等相关部门间的政策协同，强化政策衔接，联合出台系列政策</w:t>
      </w:r>
      <w:r>
        <w:rPr>
          <w:rFonts w:hint="eastAsia" w:ascii="Times New Roman" w:hAnsi="Times New Roman" w:eastAsia="仿宋"/>
          <w:color w:val="auto"/>
          <w:sz w:val="32"/>
          <w:szCs w:val="32"/>
          <w:lang w:eastAsia="zh-Hans"/>
        </w:rPr>
        <w:t>举措</w:t>
      </w:r>
      <w:r>
        <w:rPr>
          <w:rFonts w:hint="eastAsia" w:ascii="Times New Roman" w:hAnsi="Times New Roman" w:eastAsia="仿宋"/>
          <w:color w:val="auto"/>
          <w:sz w:val="32"/>
          <w:szCs w:val="32"/>
        </w:rPr>
        <w:t>。建立适合丽水区域产业特色的知识产权政策的动态评估和调整机制。</w:t>
      </w:r>
    </w:p>
    <w:p>
      <w:pPr>
        <w:pStyle w:val="4"/>
        <w:widowControl/>
        <w:spacing w:before="0" w:after="0" w:line="580" w:lineRule="exact"/>
        <w:ind w:firstLine="643" w:firstLineChars="200"/>
        <w:rPr>
          <w:rFonts w:ascii="Times New Roman" w:hAnsi="Times New Roman" w:eastAsia="楷体"/>
          <w:color w:val="auto"/>
        </w:rPr>
      </w:pPr>
      <w:bookmarkStart w:id="15" w:name="_Toc17372"/>
      <w:bookmarkStart w:id="16" w:name="_Toc80863152"/>
      <w:r>
        <w:rPr>
          <w:rFonts w:hint="eastAsia" w:ascii="Times New Roman" w:hAnsi="Times New Roman" w:eastAsia="楷体"/>
          <w:color w:val="auto"/>
        </w:rPr>
        <w:t>（三）融入知识产权长三角一体化</w:t>
      </w:r>
      <w:bookmarkEnd w:id="15"/>
      <w:bookmarkEnd w:id="16"/>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深入推进丽水知识产权“走出去”战略。布局知识产权“走出去”路径，持续提升“丽水山耕”“丽水山居”“丽水山景”等“山系”品牌在国际和国内市场影响力、“五大</w:t>
      </w:r>
      <w:r>
        <w:rPr>
          <w:rFonts w:hint="eastAsia" w:ascii="Times New Roman" w:hAnsi="Times New Roman" w:eastAsia="仿宋"/>
          <w:color w:val="auto"/>
          <w:sz w:val="32"/>
          <w:szCs w:val="32"/>
          <w:lang w:eastAsia="zh-Hans"/>
        </w:rPr>
        <w:t>主导</w:t>
      </w:r>
      <w:r>
        <w:rPr>
          <w:rFonts w:hint="eastAsia" w:ascii="Times New Roman" w:hAnsi="Times New Roman" w:eastAsia="仿宋"/>
          <w:color w:val="auto"/>
          <w:sz w:val="32"/>
          <w:szCs w:val="32"/>
        </w:rPr>
        <w:t>产业”集群的标准和品牌在国内市场影响力。融入长三角知识产权一体化发展。接轨大上海、融入长三角知识产权公共服务一体化、维权执法一体化、信用建设一体化，主动对接长三角地区知识产权保护、跨区域协作平台，打造长三角高科技知识产权成果转化的“大孵化器”。推进知识产权“飞地”建设，打造一批跨区域的知识产权协同创新基地。</w:t>
      </w:r>
    </w:p>
    <w:p>
      <w:pPr>
        <w:pStyle w:val="4"/>
        <w:widowControl/>
        <w:spacing w:before="0" w:after="0" w:line="580" w:lineRule="exact"/>
        <w:ind w:firstLine="643" w:firstLineChars="200"/>
        <w:rPr>
          <w:rFonts w:ascii="Times New Roman" w:hAnsi="Times New Roman" w:eastAsia="楷体"/>
          <w:color w:val="auto"/>
        </w:rPr>
      </w:pPr>
      <w:bookmarkStart w:id="17" w:name="_Toc80863153"/>
      <w:r>
        <w:rPr>
          <w:rFonts w:hint="eastAsia" w:ascii="Times New Roman" w:hAnsi="Times New Roman" w:eastAsia="楷体"/>
          <w:color w:val="auto"/>
        </w:rPr>
        <w:t>（四）加快知识产权示范区发展</w:t>
      </w:r>
      <w:bookmarkEnd w:id="17"/>
      <w:r>
        <w:rPr>
          <w:rFonts w:ascii="Times New Roman" w:hAnsi="Times New Roman" w:eastAsia="楷体"/>
          <w:color w:val="auto"/>
        </w:rPr>
        <w:t xml:space="preserve"> </w:t>
      </w:r>
    </w:p>
    <w:p>
      <w:pPr>
        <w:widowControl/>
        <w:spacing w:line="580" w:lineRule="exact"/>
        <w:ind w:firstLine="640" w:firstLineChars="200"/>
        <w:rPr>
          <w:rFonts w:ascii="Times New Roman" w:hAnsi="Times New Roman" w:eastAsia="仿宋"/>
          <w:color w:val="auto"/>
          <w:sz w:val="32"/>
          <w:szCs w:val="32"/>
          <w:lang w:eastAsia="zh-Hans"/>
        </w:rPr>
      </w:pPr>
      <w:r>
        <w:rPr>
          <w:rFonts w:hint="eastAsia" w:ascii="Times New Roman" w:hAnsi="Times New Roman" w:eastAsia="仿宋"/>
          <w:color w:val="auto"/>
          <w:sz w:val="32"/>
          <w:szCs w:val="32"/>
        </w:rPr>
        <w:t>创成国家知识产权示范市。</w:t>
      </w:r>
      <w:r>
        <w:rPr>
          <w:rFonts w:hint="eastAsia" w:ascii="Times New Roman" w:hAnsi="Times New Roman" w:eastAsia="仿宋"/>
          <w:color w:val="auto"/>
          <w:sz w:val="32"/>
          <w:szCs w:val="32"/>
          <w:lang w:eastAsia="zh-Hans"/>
        </w:rPr>
        <w:t>加大科创与知识产权示范区联动建设，</w:t>
      </w:r>
      <w:r>
        <w:rPr>
          <w:rFonts w:hint="eastAsia" w:ascii="Times New Roman" w:hAnsi="Times New Roman" w:eastAsia="仿宋"/>
          <w:color w:val="auto"/>
          <w:sz w:val="32"/>
          <w:szCs w:val="32"/>
        </w:rPr>
        <w:t>全面融入浙西南区域科创体系。</w:t>
      </w:r>
      <w:r>
        <w:rPr>
          <w:rFonts w:hint="eastAsia" w:ascii="Times New Roman" w:hAnsi="Times New Roman" w:eastAsia="仿宋"/>
          <w:color w:val="auto"/>
          <w:sz w:val="32"/>
          <w:szCs w:val="32"/>
          <w:lang w:eastAsia="zh-Hans"/>
        </w:rPr>
        <w:t>依托华侨双创试验区、浙西南科创产业园、中国未来建筑科创小镇等重大科创载体，形成凝聚高水平知识产权团队、高新技术企业、高端资本协同创新的科创“硬核”型知识产权示范区。推进地理标志产品保护示范区建设。推广“龙头企业</w:t>
      </w:r>
      <w:r>
        <w:rPr>
          <w:rFonts w:ascii="Times New Roman" w:hAnsi="Times New Roman" w:eastAsia="仿宋"/>
          <w:color w:val="auto"/>
          <w:sz w:val="32"/>
          <w:szCs w:val="32"/>
          <w:lang w:eastAsia="zh-Hans"/>
        </w:rPr>
        <w:t>+专业合作社+生产基地”产业化模式，</w:t>
      </w:r>
      <w:r>
        <w:rPr>
          <w:rFonts w:hint="eastAsia" w:ascii="Times New Roman" w:hAnsi="Times New Roman" w:eastAsia="仿宋"/>
          <w:color w:val="auto"/>
          <w:sz w:val="32"/>
          <w:szCs w:val="32"/>
          <w:lang w:eastAsia="zh-Hans"/>
        </w:rPr>
        <w:t>进一步加大地理标志产</w:t>
      </w:r>
      <w:r>
        <w:rPr>
          <w:rFonts w:ascii="Times New Roman" w:hAnsi="Times New Roman" w:eastAsia="仿宋"/>
          <w:color w:val="auto"/>
          <w:sz w:val="32"/>
          <w:szCs w:val="32"/>
          <w:lang w:eastAsia="zh-Hans"/>
        </w:rPr>
        <w:t>品相关质量标准的制定力度</w:t>
      </w:r>
      <w:r>
        <w:rPr>
          <w:rFonts w:hint="eastAsia" w:ascii="Times New Roman" w:hAnsi="Times New Roman" w:eastAsia="仿宋"/>
          <w:color w:val="auto"/>
          <w:sz w:val="32"/>
          <w:szCs w:val="32"/>
          <w:lang w:eastAsia="zh-Hans"/>
        </w:rPr>
        <w:t>，鼓励地理标志产品龙头企业、</w:t>
      </w:r>
      <w:r>
        <w:rPr>
          <w:rFonts w:ascii="Times New Roman" w:hAnsi="Times New Roman" w:eastAsia="仿宋"/>
          <w:color w:val="auto"/>
          <w:sz w:val="32"/>
          <w:szCs w:val="32"/>
          <w:lang w:eastAsia="zh-Hans"/>
        </w:rPr>
        <w:t>行业协会等制定一批国家标准、地方标准、团体标准，</w:t>
      </w:r>
      <w:r>
        <w:rPr>
          <w:rFonts w:hint="eastAsia" w:ascii="Times New Roman" w:hAnsi="Times New Roman" w:eastAsia="仿宋"/>
          <w:color w:val="auto"/>
          <w:sz w:val="32"/>
          <w:szCs w:val="32"/>
          <w:lang w:eastAsia="zh-Hans"/>
        </w:rPr>
        <w:t>争创国家地理标志产品保护示范区。</w:t>
      </w:r>
      <w:r>
        <w:rPr>
          <w:rFonts w:hint="eastAsia" w:eastAsia="仿宋"/>
          <w:color w:val="auto"/>
          <w:sz w:val="32"/>
          <w:szCs w:val="32"/>
          <w:lang w:eastAsia="zh-Hans"/>
        </w:rPr>
        <w:t>争取创建国家版权示范园区和国家版权示范城市。</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ascii="Times New Roman" w:hAnsi="Times New Roman" w:eastAsia="仿宋_GB2312"/>
                <w:b/>
                <w:bCs/>
                <w:color w:val="auto"/>
                <w:sz w:val="28"/>
                <w:szCs w:val="28"/>
                <w:lang w:eastAsia="zh-Hans"/>
              </w:rPr>
              <w:t>专栏</w:t>
            </w:r>
            <w:r>
              <w:rPr>
                <w:rFonts w:ascii="Times New Roman" w:hAnsi="Times New Roman" w:eastAsia="仿宋_GB2312"/>
                <w:b/>
                <w:bCs/>
                <w:color w:val="auto"/>
                <w:sz w:val="28"/>
                <w:szCs w:val="28"/>
                <w:lang w:eastAsia="zh-Hans"/>
              </w:rPr>
              <w:t>2</w:t>
            </w:r>
            <w:r>
              <w:rPr>
                <w:rFonts w:hint="eastAsia" w:ascii="Times New Roman" w:hAnsi="Times New Roman" w:eastAsia="仿宋_GB2312"/>
                <w:b/>
                <w:bCs/>
                <w:color w:val="auto"/>
                <w:sz w:val="28"/>
                <w:szCs w:val="28"/>
                <w:lang w:eastAsia="zh-Hans"/>
              </w:rPr>
              <w:t>：科创与知识产权示范区联动建设工程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spacing w:line="336" w:lineRule="auto"/>
              <w:ind w:firstLine="560"/>
              <w:rPr>
                <w:color w:val="auto"/>
                <w:sz w:val="28"/>
                <w:szCs w:val="28"/>
                <w:lang w:eastAsia="zh-Hans"/>
              </w:rPr>
            </w:pPr>
            <w:r>
              <w:rPr>
                <w:rFonts w:hint="eastAsia"/>
                <w:color w:val="auto"/>
                <w:sz w:val="28"/>
                <w:szCs w:val="28"/>
                <w:lang w:eastAsia="zh-Hans"/>
              </w:rPr>
              <w:t>——加大省市县联动建设科创基地。积极融入全省打造全球创新策源地布局，深度对接杭州城西科创大走廊，用好杭州（丽水）数字大厦，发挥缙云、龙泉、丽水开发区产业创新服务综合体的示范作用，联动谋划布局和建设一批“科创+特色产业”区域性科创基地。</w:t>
            </w:r>
          </w:p>
          <w:p>
            <w:pPr>
              <w:pStyle w:val="27"/>
              <w:widowControl/>
              <w:spacing w:line="336" w:lineRule="auto"/>
              <w:ind w:firstLine="560"/>
              <w:rPr>
                <w:color w:val="auto"/>
                <w:sz w:val="28"/>
                <w:szCs w:val="28"/>
                <w:lang w:eastAsia="zh-Hans"/>
              </w:rPr>
            </w:pPr>
            <w:r>
              <w:rPr>
                <w:rFonts w:hint="eastAsia"/>
                <w:color w:val="auto"/>
                <w:sz w:val="28"/>
                <w:szCs w:val="28"/>
                <w:lang w:eastAsia="zh-Hans"/>
              </w:rPr>
              <w:t>——加快推进知识产权强市强县建设。构建区域协调发展机制，形成优势互补，特色明显的知识产权区域发展机制，健全以市场为导向的高质量知识产权激励机制。组建知识产权联盟促进资源共享，鼓励上下联动，特色发展。</w:t>
            </w:r>
          </w:p>
          <w:p>
            <w:pPr>
              <w:pStyle w:val="27"/>
              <w:widowControl/>
              <w:spacing w:line="336" w:lineRule="auto"/>
              <w:ind w:firstLine="560"/>
              <w:rPr>
                <w:rFonts w:eastAsia="仿宋"/>
                <w:color w:val="auto"/>
                <w:sz w:val="32"/>
                <w:szCs w:val="32"/>
                <w:lang w:eastAsia="zh-Hans"/>
              </w:rPr>
            </w:pPr>
            <w:r>
              <w:rPr>
                <w:rFonts w:hint="eastAsia"/>
                <w:color w:val="auto"/>
                <w:sz w:val="28"/>
                <w:szCs w:val="28"/>
                <w:lang w:eastAsia="zh-Hans"/>
              </w:rPr>
              <w:t>——积极推动龙泉市创建全国版权示范城市。进一步强化版权强市的理念，充分发挥版权在龙泉青瓷产业的创新和对外合作交流的重大作用，打造具有鲜明特色的全国版权示范城市龙泉样板。</w:t>
            </w:r>
          </w:p>
        </w:tc>
      </w:tr>
    </w:tbl>
    <w:p>
      <w:pPr>
        <w:pStyle w:val="3"/>
        <w:widowControl/>
        <w:spacing w:before="0" w:after="0" w:line="580" w:lineRule="exact"/>
        <w:ind w:firstLine="640" w:firstLineChars="200"/>
        <w:rPr>
          <w:rFonts w:ascii="Times New Roman" w:hAnsi="Times New Roman" w:eastAsia="黑体"/>
          <w:b w:val="0"/>
          <w:bCs w:val="0"/>
          <w:color w:val="auto"/>
          <w:sz w:val="32"/>
          <w:szCs w:val="32"/>
        </w:rPr>
      </w:pPr>
      <w:bookmarkStart w:id="18" w:name="_Toc80863154"/>
      <w:bookmarkStart w:id="19" w:name="_Toc25446"/>
      <w:r>
        <w:rPr>
          <w:rFonts w:hint="eastAsia" w:ascii="Times New Roman" w:hAnsi="Times New Roman" w:eastAsia="黑体"/>
          <w:b w:val="0"/>
          <w:bCs w:val="0"/>
          <w:color w:val="auto"/>
          <w:sz w:val="32"/>
          <w:szCs w:val="32"/>
        </w:rPr>
        <w:t>三、激活动力，熔铸知识产权创造新优势</w:t>
      </w:r>
      <w:bookmarkEnd w:id="18"/>
      <w:bookmarkEnd w:id="19"/>
    </w:p>
    <w:p>
      <w:pPr>
        <w:pStyle w:val="4"/>
        <w:widowControl/>
        <w:spacing w:before="0" w:after="0" w:line="580" w:lineRule="exact"/>
        <w:ind w:firstLine="643" w:firstLineChars="200"/>
        <w:rPr>
          <w:rFonts w:ascii="Times New Roman" w:hAnsi="Times New Roman" w:eastAsia="楷体"/>
          <w:color w:val="auto"/>
        </w:rPr>
      </w:pPr>
      <w:bookmarkStart w:id="20" w:name="_Toc13686"/>
      <w:bookmarkStart w:id="21" w:name="_Toc80863155"/>
      <w:r>
        <w:rPr>
          <w:rFonts w:hint="eastAsia" w:ascii="Times New Roman" w:hAnsi="Times New Roman" w:eastAsia="楷体"/>
          <w:color w:val="auto"/>
        </w:rPr>
        <w:t>（一）着力培育高质量特色化知识产权</w:t>
      </w:r>
      <w:bookmarkEnd w:id="20"/>
      <w:bookmarkEnd w:id="21"/>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大力提升高价值知识产权数量。</w:t>
      </w:r>
      <w:r>
        <w:rPr>
          <w:rFonts w:ascii="Times New Roman" w:hAnsi="Times New Roman" w:eastAsia="仿宋"/>
          <w:color w:val="auto"/>
          <w:sz w:val="32"/>
          <w:szCs w:val="32"/>
        </w:rPr>
        <w:t>围绕半导体全链条、精密制造、健康医药、时尚产</w:t>
      </w:r>
      <w:r>
        <w:rPr>
          <w:rFonts w:hint="eastAsia" w:ascii="Times New Roman" w:hAnsi="Times New Roman" w:eastAsia="仿宋"/>
          <w:color w:val="auto"/>
          <w:sz w:val="32"/>
          <w:szCs w:val="32"/>
        </w:rPr>
        <w:t>业、数字经济五大现代产业集群，建设一批高价值知识产权培育平台，深入实施“创新力提升工程”，构建“一心支撑、点面联动”的浙西南区域创新体系。全面提升企业、高校、科研院所等创新主体的知识产权创造水平，充分对接国家战略科技力量，着重建立半导体全链条、精密制造、</w:t>
      </w:r>
      <w:r>
        <w:rPr>
          <w:rFonts w:ascii="Times New Roman" w:hAnsi="Times New Roman" w:eastAsia="仿宋"/>
          <w:color w:val="auto"/>
          <w:sz w:val="32"/>
          <w:szCs w:val="32"/>
        </w:rPr>
        <w:t>健康医药、</w:t>
      </w:r>
      <w:r>
        <w:rPr>
          <w:rFonts w:hint="eastAsia" w:ascii="Times New Roman" w:hAnsi="Times New Roman" w:eastAsia="仿宋"/>
          <w:color w:val="auto"/>
          <w:sz w:val="32"/>
          <w:szCs w:val="32"/>
        </w:rPr>
        <w:t>时尚产业、数字经济等重大关键技术知识产权攻关目录，推进科技创新与知识产权制度协同，促进知识产权量质提升。支持企业大力推进技术创新与商业模式创新、品牌创新的融合，引导企业标准化品牌化发展。到</w:t>
      </w:r>
      <w:r>
        <w:rPr>
          <w:rFonts w:ascii="Times New Roman" w:hAnsi="Times New Roman" w:eastAsia="仿宋"/>
          <w:color w:val="auto"/>
          <w:sz w:val="32"/>
          <w:szCs w:val="32"/>
        </w:rPr>
        <w:t>2025年，全市</w:t>
      </w:r>
      <w:r>
        <w:rPr>
          <w:rFonts w:hint="eastAsia" w:ascii="Times New Roman" w:hAnsi="Times New Roman" w:eastAsia="仿宋"/>
          <w:color w:val="auto"/>
          <w:sz w:val="32"/>
          <w:szCs w:val="32"/>
        </w:rPr>
        <w:t>万人高价值</w:t>
      </w:r>
      <w:r>
        <w:rPr>
          <w:rFonts w:ascii="Times New Roman" w:hAnsi="Times New Roman" w:eastAsia="仿宋"/>
          <w:color w:val="auto"/>
          <w:sz w:val="32"/>
          <w:szCs w:val="32"/>
        </w:rPr>
        <w:t>发明专利</w:t>
      </w:r>
      <w:r>
        <w:rPr>
          <w:rFonts w:hint="eastAsia" w:ascii="Times New Roman" w:hAnsi="Times New Roman" w:eastAsia="仿宋"/>
          <w:color w:val="auto"/>
          <w:sz w:val="32"/>
          <w:szCs w:val="32"/>
        </w:rPr>
        <w:t>达到4</w:t>
      </w:r>
      <w:r>
        <w:rPr>
          <w:rFonts w:ascii="Times New Roman" w:hAnsi="Times New Roman" w:eastAsia="仿宋"/>
          <w:color w:val="auto"/>
          <w:sz w:val="32"/>
          <w:szCs w:val="32"/>
        </w:rPr>
        <w:t>件</w:t>
      </w:r>
      <w:r>
        <w:rPr>
          <w:rFonts w:hint="eastAsia" w:ascii="Times New Roman" w:hAnsi="Times New Roman" w:eastAsia="仿宋"/>
          <w:color w:val="auto"/>
          <w:sz w:val="32"/>
          <w:szCs w:val="32"/>
        </w:rPr>
        <w:t>。全面凸显特色化知识产权。持续强化“轻型知识产权”特色，聚焦生态农业、生态工业、康养旅游业，</w:t>
      </w:r>
      <w:r>
        <w:rPr>
          <w:rFonts w:ascii="Times New Roman" w:hAnsi="Times New Roman" w:eastAsia="仿宋"/>
          <w:color w:val="auto"/>
          <w:sz w:val="32"/>
          <w:szCs w:val="32"/>
        </w:rPr>
        <w:t>建立知识产权支撑生态型经济的体制机制。</w:t>
      </w:r>
      <w:r>
        <w:rPr>
          <w:rFonts w:hint="eastAsia" w:ascii="Times New Roman" w:hAnsi="Times New Roman" w:eastAsia="仿宋"/>
          <w:color w:val="auto"/>
          <w:sz w:val="32"/>
          <w:szCs w:val="32"/>
        </w:rPr>
        <w:t>引育创新主体，完善创新生态，让创新成为高质量绿色发展的鲜明特征和强大引擎。推动浙西南革命精神与双创文化融合，打造独具特色的“红创”文化。到</w:t>
      </w:r>
      <w:r>
        <w:rPr>
          <w:rFonts w:ascii="Times New Roman" w:hAnsi="Times New Roman" w:eastAsia="仿宋"/>
          <w:color w:val="auto"/>
          <w:sz w:val="32"/>
          <w:szCs w:val="32"/>
        </w:rPr>
        <w:t>2025年，有效地理标志</w:t>
      </w:r>
      <w:r>
        <w:rPr>
          <w:rFonts w:hint="eastAsia" w:ascii="Times New Roman" w:hAnsi="Times New Roman" w:eastAsia="仿宋"/>
          <w:color w:val="auto"/>
          <w:sz w:val="32"/>
          <w:szCs w:val="32"/>
        </w:rPr>
        <w:t>累计达到</w:t>
      </w:r>
      <w:r>
        <w:rPr>
          <w:rFonts w:hint="default" w:ascii="Times New Roman" w:hAnsi="Times New Roman" w:eastAsia="仿宋"/>
          <w:color w:val="auto"/>
          <w:sz w:val="32"/>
          <w:szCs w:val="32"/>
        </w:rPr>
        <w:t>55</w:t>
      </w:r>
      <w:r>
        <w:rPr>
          <w:rFonts w:ascii="Times New Roman" w:hAnsi="Times New Roman" w:eastAsia="仿宋"/>
          <w:color w:val="auto"/>
          <w:sz w:val="32"/>
          <w:szCs w:val="32"/>
        </w:rPr>
        <w:t>件</w:t>
      </w:r>
      <w:r>
        <w:rPr>
          <w:rFonts w:hint="eastAsia" w:ascii="Times New Roman" w:hAnsi="Times New Roman" w:eastAsia="仿宋"/>
          <w:color w:val="auto"/>
          <w:sz w:val="32"/>
          <w:szCs w:val="32"/>
        </w:rPr>
        <w:t>。加快知识产权国际布局。实施海外发明专利授权提升</w:t>
      </w:r>
      <w:r>
        <w:rPr>
          <w:rFonts w:ascii="Times New Roman" w:hAnsi="Times New Roman" w:eastAsia="仿宋"/>
          <w:color w:val="auto"/>
          <w:sz w:val="32"/>
          <w:szCs w:val="32"/>
        </w:rPr>
        <w:t>计划，加强知识产权海外布局。</w:t>
      </w:r>
      <w:r>
        <w:rPr>
          <w:rFonts w:hint="eastAsia" w:ascii="Times New Roman" w:hAnsi="Times New Roman" w:eastAsia="仿宋"/>
          <w:color w:val="auto"/>
          <w:sz w:val="32"/>
          <w:szCs w:val="32"/>
        </w:rPr>
        <w:t>引导企业</w:t>
      </w:r>
      <w:r>
        <w:rPr>
          <w:rFonts w:ascii="Times New Roman" w:hAnsi="Times New Roman" w:eastAsia="仿宋"/>
          <w:color w:val="auto"/>
          <w:sz w:val="32"/>
          <w:szCs w:val="32"/>
        </w:rPr>
        <w:t>综合</w:t>
      </w:r>
      <w:r>
        <w:rPr>
          <w:rFonts w:hint="eastAsia" w:ascii="Times New Roman" w:hAnsi="Times New Roman" w:eastAsia="仿宋"/>
          <w:color w:val="auto"/>
          <w:sz w:val="32"/>
          <w:szCs w:val="32"/>
        </w:rPr>
        <w:t>自身</w:t>
      </w:r>
      <w:r>
        <w:rPr>
          <w:rFonts w:ascii="Times New Roman" w:hAnsi="Times New Roman" w:eastAsia="仿宋"/>
          <w:color w:val="auto"/>
          <w:sz w:val="32"/>
          <w:szCs w:val="32"/>
        </w:rPr>
        <w:t>发展需求、国际维权能力、竞争对手布局等因素，制定海外知识产权策略，绘制专利导航</w:t>
      </w:r>
      <w:r>
        <w:rPr>
          <w:rFonts w:hint="eastAsia" w:ascii="Times New Roman" w:hAnsi="Times New Roman" w:eastAsia="仿宋"/>
          <w:color w:val="auto"/>
          <w:sz w:val="32"/>
          <w:szCs w:val="32"/>
        </w:rPr>
        <w:t>地</w:t>
      </w:r>
      <w:r>
        <w:rPr>
          <w:rFonts w:ascii="Times New Roman" w:hAnsi="Times New Roman" w:eastAsia="仿宋"/>
          <w:color w:val="auto"/>
          <w:sz w:val="32"/>
          <w:szCs w:val="32"/>
        </w:rPr>
        <w:t>图。优先在</w:t>
      </w:r>
      <w:r>
        <w:rPr>
          <w:rFonts w:hint="eastAsia" w:ascii="Times New Roman" w:hAnsi="Times New Roman" w:eastAsia="仿宋"/>
          <w:color w:val="auto"/>
          <w:sz w:val="32"/>
          <w:szCs w:val="32"/>
        </w:rPr>
        <w:t>精密制造、半导体等</w:t>
      </w:r>
      <w:r>
        <w:rPr>
          <w:rFonts w:ascii="Times New Roman" w:hAnsi="Times New Roman" w:eastAsia="仿宋"/>
          <w:color w:val="auto"/>
          <w:sz w:val="32"/>
          <w:szCs w:val="32"/>
        </w:rPr>
        <w:t>符合技术发展趋势</w:t>
      </w:r>
      <w:r>
        <w:rPr>
          <w:rFonts w:hint="eastAsia" w:ascii="Times New Roman" w:hAnsi="Times New Roman" w:eastAsia="仿宋"/>
          <w:color w:val="auto"/>
          <w:sz w:val="32"/>
          <w:szCs w:val="32"/>
        </w:rPr>
        <w:t>、</w:t>
      </w:r>
      <w:r>
        <w:rPr>
          <w:rFonts w:ascii="Times New Roman" w:hAnsi="Times New Roman" w:eastAsia="仿宋"/>
          <w:color w:val="auto"/>
          <w:sz w:val="32"/>
          <w:szCs w:val="32"/>
        </w:rPr>
        <w:t>具有领先水平和市场应用前景的领域申请海外</w:t>
      </w:r>
      <w:r>
        <w:rPr>
          <w:rFonts w:hint="eastAsia" w:ascii="Times New Roman" w:hAnsi="Times New Roman" w:eastAsia="仿宋"/>
          <w:color w:val="auto"/>
          <w:sz w:val="32"/>
          <w:szCs w:val="32"/>
        </w:rPr>
        <w:t>专利，加强海外布局，提升国际竞争话语权。加强国际商标注册，培育知名品牌。力争到</w:t>
      </w:r>
      <w:r>
        <w:rPr>
          <w:rFonts w:ascii="Times New Roman" w:hAnsi="Times New Roman" w:eastAsia="仿宋"/>
          <w:color w:val="auto"/>
          <w:sz w:val="32"/>
          <w:szCs w:val="32"/>
        </w:rPr>
        <w:t>2025年，</w:t>
      </w:r>
      <w:r>
        <w:rPr>
          <w:rFonts w:hint="eastAsia" w:ascii="Times New Roman" w:hAnsi="Times New Roman" w:eastAsia="仿宋"/>
          <w:color w:val="auto"/>
          <w:sz w:val="32"/>
          <w:szCs w:val="32"/>
        </w:rPr>
        <w:t>海外发明专利授权量达到40件</w:t>
      </w:r>
      <w:r>
        <w:rPr>
          <w:rFonts w:ascii="Times New Roman" w:hAnsi="Times New Roman" w:eastAsia="仿宋"/>
          <w:color w:val="auto"/>
          <w:sz w:val="32"/>
          <w:szCs w:val="32"/>
        </w:rPr>
        <w:t>，马德里国际注册商标</w:t>
      </w:r>
      <w:r>
        <w:rPr>
          <w:rFonts w:hint="eastAsia" w:ascii="Times New Roman" w:hAnsi="Times New Roman" w:eastAsia="仿宋"/>
          <w:color w:val="auto"/>
          <w:sz w:val="32"/>
          <w:szCs w:val="32"/>
        </w:rPr>
        <w:t>拥有</w:t>
      </w:r>
      <w:r>
        <w:rPr>
          <w:rFonts w:ascii="Times New Roman" w:hAnsi="Times New Roman" w:eastAsia="仿宋"/>
          <w:color w:val="auto"/>
          <w:sz w:val="32"/>
          <w:szCs w:val="32"/>
        </w:rPr>
        <w:t>量达到</w:t>
      </w:r>
      <w:r>
        <w:rPr>
          <w:rFonts w:hint="eastAsia" w:ascii="Times New Roman" w:hAnsi="Times New Roman" w:eastAsia="仿宋"/>
          <w:color w:val="auto"/>
          <w:sz w:val="32"/>
          <w:szCs w:val="32"/>
        </w:rPr>
        <w:t>150</w:t>
      </w:r>
      <w:r>
        <w:rPr>
          <w:rFonts w:ascii="Times New Roman" w:hAnsi="Times New Roman" w:eastAsia="仿宋"/>
          <w:color w:val="auto"/>
          <w:sz w:val="32"/>
          <w:szCs w:val="32"/>
        </w:rPr>
        <w:t>件。</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ascii="Times New Roman" w:hAnsi="Times New Roman" w:eastAsia="仿宋_GB2312"/>
                <w:b/>
                <w:bCs/>
                <w:color w:val="auto"/>
                <w:sz w:val="28"/>
                <w:szCs w:val="28"/>
                <w:lang w:eastAsia="zh-Hans"/>
              </w:rPr>
              <w:t>专栏</w:t>
            </w:r>
            <w:r>
              <w:rPr>
                <w:rFonts w:ascii="Times New Roman" w:hAnsi="Times New Roman" w:eastAsia="仿宋_GB2312"/>
                <w:b/>
                <w:bCs/>
                <w:color w:val="auto"/>
                <w:sz w:val="28"/>
                <w:szCs w:val="28"/>
                <w:lang w:eastAsia="zh-Hans"/>
              </w:rPr>
              <w:t>3</w:t>
            </w:r>
            <w:r>
              <w:rPr>
                <w:rFonts w:hint="eastAsia" w:ascii="Times New Roman" w:hAnsi="Times New Roman" w:eastAsia="仿宋_GB2312"/>
                <w:b/>
                <w:bCs/>
                <w:color w:val="auto"/>
                <w:sz w:val="28"/>
                <w:szCs w:val="28"/>
                <w:lang w:eastAsia="zh-Hans"/>
              </w:rPr>
              <w:t>：高质量知识产权培育工程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spacing w:line="336" w:lineRule="auto"/>
              <w:ind w:firstLine="560"/>
              <w:rPr>
                <w:color w:val="auto"/>
                <w:sz w:val="28"/>
                <w:szCs w:val="28"/>
                <w:lang w:eastAsia="zh-Hans"/>
              </w:rPr>
            </w:pPr>
            <w:r>
              <w:rPr>
                <w:rFonts w:hint="eastAsia"/>
                <w:color w:val="auto"/>
                <w:sz w:val="28"/>
                <w:szCs w:val="28"/>
                <w:lang w:eastAsia="zh-Hans"/>
              </w:rPr>
              <w:t>——实施专利质量提升工程。坚持“数量布局、质量取胜”，建立企业、高校院所、知识产权服务机构协同创新、集成创造机制，大力培育高价值核心专利，严格监控非正常专利申请，提高专利质量与效益，努力推动专利创造由量多向质优转变。</w:t>
            </w:r>
          </w:p>
          <w:p>
            <w:pPr>
              <w:pStyle w:val="27"/>
              <w:spacing w:line="336" w:lineRule="auto"/>
              <w:ind w:firstLine="560"/>
              <w:rPr>
                <w:color w:val="auto"/>
                <w:sz w:val="28"/>
                <w:szCs w:val="28"/>
                <w:lang w:eastAsia="zh-Hans"/>
              </w:rPr>
            </w:pPr>
            <w:r>
              <w:rPr>
                <w:rFonts w:hint="eastAsia"/>
                <w:color w:val="auto"/>
                <w:sz w:val="28"/>
                <w:szCs w:val="28"/>
                <w:lang w:eastAsia="zh-Hans"/>
              </w:rPr>
              <w:t>——实施商标品牌战略。支持企业建立以注册商标为基础的品牌发展战略，支持优势产业建立以集体商标或证明商标为基础的区域品牌发展战略。加强对科技创新成果、核心竞争优势、商业模式等进行商标品牌化建设，严厉打击不以使用为目的的恶意商标注册申请行为。积极推动“五大主导产业”集群的标准化建设，提升品牌在国内市场影响力。</w:t>
            </w:r>
          </w:p>
          <w:p>
            <w:pPr>
              <w:pStyle w:val="27"/>
              <w:spacing w:line="336" w:lineRule="auto"/>
              <w:ind w:firstLine="560"/>
              <w:rPr>
                <w:color w:val="auto"/>
                <w:sz w:val="28"/>
                <w:szCs w:val="28"/>
                <w:lang w:eastAsia="zh-Hans"/>
              </w:rPr>
            </w:pPr>
            <w:r>
              <w:rPr>
                <w:rFonts w:hint="eastAsia"/>
                <w:color w:val="auto"/>
                <w:sz w:val="28"/>
                <w:szCs w:val="28"/>
                <w:lang w:eastAsia="zh-Hans"/>
              </w:rPr>
              <w:t>——实施地理标志培育工程。挖掘培育地理标志产品和地理标志商标，建立地理标志梯次培育库，积极指导产业协会和企业加强品牌培育，提升地理标志数量和质量。落实地理标志产品监管和保护的新职能，加强地理标志宣传工作。推动“丽水山耕”等区域品牌走向世界，大力提升</w:t>
            </w:r>
            <w:r>
              <w:rPr>
                <w:rFonts w:hint="eastAsia"/>
                <w:color w:val="auto"/>
                <w:sz w:val="28"/>
                <w:szCs w:val="28"/>
              </w:rPr>
              <w:t>“丽水山景”“丽水山居”“丽水山泉”等在国内的影响力。</w:t>
            </w:r>
          </w:p>
          <w:p>
            <w:pPr>
              <w:pStyle w:val="27"/>
              <w:widowControl/>
              <w:spacing w:line="336" w:lineRule="auto"/>
              <w:ind w:firstLine="560"/>
              <w:rPr>
                <w:rFonts w:cs="Times New Roman"/>
                <w:color w:val="auto"/>
                <w:sz w:val="28"/>
                <w:szCs w:val="28"/>
              </w:rPr>
            </w:pPr>
            <w:r>
              <w:rPr>
                <w:rFonts w:hint="eastAsia"/>
                <w:color w:val="auto"/>
                <w:sz w:val="28"/>
                <w:szCs w:val="28"/>
                <w:lang w:eastAsia="zh-Hans"/>
              </w:rPr>
              <w:t>——针对新业态新领域发展趋势，加强版权、植物新品种、集成电路布图设计等方面知识产权工作，提升知识产权综合实力。加大民间艺术、戏曲曲艺、手工技艺、畲族语言等非物质文化遗产、中医药、老字号等领域知识产权开发利用力度，促进文化产业的经营与传统文化的传承。</w:t>
            </w:r>
          </w:p>
        </w:tc>
      </w:tr>
    </w:tbl>
    <w:p>
      <w:pPr>
        <w:pStyle w:val="4"/>
        <w:widowControl/>
        <w:spacing w:before="0" w:after="0" w:line="580" w:lineRule="exact"/>
        <w:ind w:firstLine="643" w:firstLineChars="200"/>
        <w:rPr>
          <w:rFonts w:ascii="Times New Roman" w:hAnsi="Times New Roman" w:eastAsia="楷体"/>
          <w:color w:val="auto"/>
        </w:rPr>
      </w:pPr>
      <w:bookmarkStart w:id="22" w:name="_Toc80863156"/>
      <w:bookmarkStart w:id="23" w:name="_Toc8497"/>
      <w:r>
        <w:rPr>
          <w:rFonts w:hint="eastAsia" w:ascii="Times New Roman" w:hAnsi="Times New Roman" w:eastAsia="楷体"/>
          <w:color w:val="auto"/>
        </w:rPr>
        <w:t>（二）强化龙头和品牌企业的创新引领作用</w:t>
      </w:r>
      <w:bookmarkEnd w:id="22"/>
      <w:bookmarkEnd w:id="23"/>
    </w:p>
    <w:p>
      <w:pPr>
        <w:widowControl/>
        <w:spacing w:line="580" w:lineRule="exact"/>
        <w:ind w:firstLine="640" w:firstLineChars="200"/>
        <w:rPr>
          <w:rFonts w:ascii="Times New Roman" w:hAnsi="Times New Roman" w:eastAsia="仿宋"/>
          <w:color w:val="auto"/>
          <w:sz w:val="32"/>
          <w:szCs w:val="32"/>
          <w:lang w:eastAsia="zh-Hans"/>
        </w:rPr>
      </w:pPr>
      <w:r>
        <w:rPr>
          <w:rFonts w:hint="eastAsia" w:ascii="Times New Roman" w:hAnsi="Times New Roman" w:eastAsia="仿宋"/>
          <w:color w:val="auto"/>
          <w:sz w:val="32"/>
          <w:szCs w:val="32"/>
          <w:lang w:eastAsia="zh-Hans"/>
        </w:rPr>
        <w:t>培育知识产权领军企业。实施知识产权强企“头雁计划”，培育专利密集、品牌价值高、具有国际竞争优势的知识产权领军企业，充分发挥龙头企业的引领作用。到2025年，国家知识产权示范优势企业达到</w:t>
      </w:r>
      <w:r>
        <w:rPr>
          <w:rFonts w:hint="eastAsia" w:ascii="Times New Roman" w:hAnsi="Times New Roman" w:eastAsia="仿宋"/>
          <w:color w:val="auto"/>
          <w:sz w:val="32"/>
          <w:szCs w:val="32"/>
        </w:rPr>
        <w:t>13</w:t>
      </w:r>
      <w:r>
        <w:rPr>
          <w:rFonts w:hint="eastAsia" w:ascii="Times New Roman" w:hAnsi="Times New Roman" w:eastAsia="仿宋"/>
          <w:color w:val="auto"/>
          <w:sz w:val="32"/>
          <w:szCs w:val="32"/>
          <w:lang w:eastAsia="zh-Hans"/>
        </w:rPr>
        <w:t>家。强化企业知识产权的融合发展。以共建专利池、设立产业知识产权联盟等形式，强化头部企业和中小微企业的知识产权融合发展，实施专利转化专项计划。支持企业联合建设研究平台和创新孵化中心、研发中心、技术检测中心、知识产权联盟等，提升创新竞争力。健全提升中小微企业知识产权创造能力的服务体系。完善中小微企业知识产权托管机制、专利侵权监测公共服务机制、维权援助机制，围绕重点产业，率先实施中小微企业知识产权援助计划。</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ascii="Times New Roman" w:hAnsi="Times New Roman" w:eastAsia="仿宋_GB2312"/>
                <w:b/>
                <w:bCs/>
                <w:color w:val="auto"/>
                <w:sz w:val="28"/>
                <w:szCs w:val="28"/>
                <w:lang w:eastAsia="zh-Hans"/>
              </w:rPr>
              <w:t>专栏</w:t>
            </w:r>
            <w:r>
              <w:rPr>
                <w:rFonts w:ascii="Times New Roman" w:hAnsi="Times New Roman" w:eastAsia="仿宋_GB2312"/>
                <w:b/>
                <w:bCs/>
                <w:color w:val="auto"/>
                <w:sz w:val="28"/>
                <w:szCs w:val="28"/>
                <w:lang w:eastAsia="zh-Hans"/>
              </w:rPr>
              <w:t>4</w:t>
            </w:r>
            <w:r>
              <w:rPr>
                <w:rFonts w:hint="eastAsia" w:ascii="Times New Roman" w:hAnsi="Times New Roman" w:eastAsia="仿宋_GB2312"/>
                <w:b/>
                <w:bCs/>
                <w:color w:val="auto"/>
                <w:sz w:val="28"/>
                <w:szCs w:val="28"/>
                <w:lang w:eastAsia="zh-Hans"/>
              </w:rPr>
              <w:t>：知识产权领军企业培育工程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spacing w:line="336" w:lineRule="auto"/>
              <w:ind w:firstLine="560"/>
              <w:rPr>
                <w:color w:val="auto"/>
                <w:sz w:val="28"/>
                <w:szCs w:val="28"/>
                <w:lang w:eastAsia="zh-Hans"/>
              </w:rPr>
            </w:pPr>
            <w:r>
              <w:rPr>
                <w:rFonts w:hint="eastAsia"/>
                <w:color w:val="auto"/>
                <w:sz w:val="28"/>
                <w:szCs w:val="28"/>
                <w:lang w:eastAsia="zh-Hans"/>
              </w:rPr>
              <w:t>——实施科技企业“双倍增”行动。将企业知识产权作为重要指标纳入“凤凰行动”“雄鹰行动”“雏鹰行动”等遴选评价体系，引导行业领军型企业强化知识产权管理和保护，培育更多高价值核心专利和知名品牌。</w:t>
            </w:r>
          </w:p>
          <w:p>
            <w:pPr>
              <w:pStyle w:val="27"/>
              <w:widowControl/>
              <w:spacing w:line="336" w:lineRule="auto"/>
              <w:ind w:firstLine="560"/>
              <w:rPr>
                <w:color w:val="auto"/>
                <w:sz w:val="28"/>
                <w:szCs w:val="28"/>
                <w:lang w:eastAsia="zh-Hans"/>
              </w:rPr>
            </w:pPr>
            <w:r>
              <w:rPr>
                <w:rFonts w:hint="eastAsia" w:cs="Times New Roman"/>
                <w:color w:val="auto"/>
                <w:sz w:val="28"/>
                <w:szCs w:val="28"/>
              </w:rPr>
              <w:t>——支持领军企业实施积极的海外知识产权保护策略，通过</w:t>
            </w:r>
            <w:r>
              <w:rPr>
                <w:rFonts w:cs="Times New Roman"/>
                <w:color w:val="auto"/>
                <w:sz w:val="28"/>
                <w:szCs w:val="28"/>
              </w:rPr>
              <w:t>PCT等途径加快知识产权海外布局，建成一批具备熟练运用知识产权国际规则参与全球竞争的</w:t>
            </w:r>
            <w:r>
              <w:rPr>
                <w:rFonts w:hint="eastAsia" w:cs="Times New Roman"/>
                <w:color w:val="auto"/>
                <w:sz w:val="28"/>
                <w:szCs w:val="28"/>
              </w:rPr>
              <w:t>领军型</w:t>
            </w:r>
            <w:r>
              <w:rPr>
                <w:rFonts w:cs="Times New Roman"/>
                <w:color w:val="auto"/>
                <w:sz w:val="28"/>
                <w:szCs w:val="28"/>
              </w:rPr>
              <w:t>企业。</w:t>
            </w:r>
          </w:p>
          <w:p>
            <w:pPr>
              <w:pStyle w:val="27"/>
              <w:widowControl/>
              <w:spacing w:line="336" w:lineRule="auto"/>
              <w:ind w:firstLine="560"/>
              <w:rPr>
                <w:rFonts w:cs="Times New Roman"/>
                <w:color w:val="auto"/>
                <w:sz w:val="28"/>
                <w:szCs w:val="28"/>
              </w:rPr>
            </w:pPr>
            <w:r>
              <w:rPr>
                <w:rFonts w:hint="eastAsia"/>
                <w:color w:val="auto"/>
                <w:sz w:val="28"/>
                <w:szCs w:val="28"/>
                <w:lang w:eastAsia="zh-Hans"/>
              </w:rPr>
              <w:t>——健全企业知识产权工作梯次培育机制。针对上市公司、拟上市公司、“专精特新”企业、高新技术企业等不同类型，精准引导企业建立知识产权管理体系。探索建设科创板知识产权加速器，培育一批科创型上市企业。</w:t>
            </w:r>
          </w:p>
        </w:tc>
      </w:tr>
    </w:tbl>
    <w:p>
      <w:pPr>
        <w:pStyle w:val="4"/>
        <w:widowControl/>
        <w:spacing w:before="0" w:after="0" w:line="580" w:lineRule="exact"/>
        <w:ind w:firstLine="643" w:firstLineChars="200"/>
        <w:rPr>
          <w:rFonts w:ascii="Times New Roman" w:hAnsi="Times New Roman" w:eastAsia="楷体"/>
          <w:color w:val="auto"/>
        </w:rPr>
      </w:pPr>
      <w:bookmarkStart w:id="24" w:name="_Toc7278"/>
      <w:bookmarkStart w:id="25" w:name="_Toc80863157"/>
      <w:r>
        <w:rPr>
          <w:rFonts w:hint="eastAsia" w:ascii="Times New Roman" w:hAnsi="Times New Roman" w:eastAsia="楷体"/>
          <w:color w:val="auto"/>
        </w:rPr>
        <w:t>（三）释放高校和科研院所创新活力</w:t>
      </w:r>
      <w:bookmarkEnd w:id="24"/>
      <w:bookmarkEnd w:id="25"/>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lang w:eastAsia="zh-Hans"/>
        </w:rPr>
        <w:t>加强知识产权产学研合作。加强创新能力开放合作，主动参与长三角科技创新共同体建设，加强与长三角地区一流高校、科研院所合作。支持在丽高校建设“国家知识产权试点示范高校”“高校科技成果转化和技术转移基地”“高校国家知识产权信息服务中心”等平台。坚持引育并举，积极引进国内外名校、名所、名企等来丽水设立或共建高水平新型研发机构，推动开展长效紧密型合作，聚焦丽水半导体全链条、精密制造、健康医药等主导产业针对性开展协同技术攻关，跨越式提升丽水学院、丽水职业技术学院、丽水农林科学研究院等本土院校和科研平台的科技研发能力。深入推进高校、科研院所知识产权管理制度改革，建立专利申请前评估制度，构建以转化运用为导向的科研评价体系。。</w:t>
      </w:r>
    </w:p>
    <w:p>
      <w:pPr>
        <w:pStyle w:val="4"/>
        <w:widowControl/>
        <w:spacing w:before="0" w:after="0" w:line="580" w:lineRule="exact"/>
        <w:ind w:firstLine="643" w:firstLineChars="200"/>
        <w:rPr>
          <w:rFonts w:ascii="Times New Roman" w:hAnsi="Times New Roman" w:eastAsia="楷体"/>
          <w:color w:val="auto"/>
        </w:rPr>
      </w:pPr>
      <w:bookmarkStart w:id="26" w:name="_Toc733"/>
      <w:bookmarkStart w:id="27" w:name="_Toc80863158"/>
      <w:r>
        <w:rPr>
          <w:rFonts w:hint="eastAsia" w:ascii="Times New Roman" w:hAnsi="Times New Roman" w:eastAsia="楷体"/>
          <w:color w:val="auto"/>
        </w:rPr>
        <w:t>（四）全面优化知识产权公共服务供给</w:t>
      </w:r>
      <w:bookmarkEnd w:id="26"/>
      <w:bookmarkEnd w:id="27"/>
    </w:p>
    <w:p>
      <w:pPr>
        <w:pStyle w:val="2"/>
        <w:widowControl/>
        <w:spacing w:after="0" w:line="580" w:lineRule="exact"/>
        <w:ind w:firstLine="640" w:firstLineChars="200"/>
        <w:rPr>
          <w:rFonts w:eastAsia="仿宋" w:cstheme="minorBidi"/>
          <w:b/>
          <w:bCs/>
          <w:color w:val="auto"/>
          <w:sz w:val="32"/>
          <w:szCs w:val="32"/>
          <w:lang w:eastAsia="zh-Hans"/>
        </w:rPr>
      </w:pPr>
      <w:r>
        <w:rPr>
          <w:rFonts w:hint="eastAsia" w:eastAsia="仿宋" w:cstheme="minorBidi"/>
          <w:color w:val="auto"/>
          <w:sz w:val="32"/>
          <w:szCs w:val="32"/>
          <w:lang w:eastAsia="zh-Hans"/>
        </w:rPr>
        <w:t>完善知识产权公共服务平台。建立健全知识产权快速维权中心、专利数据库等知识产权公共服务平台。依托市知识产权人才培养基地和行业协会的平台，推动开展企业知识产权综合服务。布局知识产权信息公共网点，与技术与创新支持中心（</w:t>
      </w:r>
      <w:r>
        <w:rPr>
          <w:rFonts w:eastAsia="仿宋" w:cstheme="minorBidi"/>
          <w:color w:val="auto"/>
          <w:sz w:val="32"/>
          <w:szCs w:val="32"/>
        </w:rPr>
        <w:t>TISC）</w:t>
      </w:r>
      <w:r>
        <w:rPr>
          <w:rFonts w:hint="eastAsia" w:eastAsia="仿宋" w:cstheme="minorBidi"/>
          <w:color w:val="auto"/>
          <w:sz w:val="32"/>
          <w:szCs w:val="32"/>
          <w:lang w:eastAsia="zh-Hans"/>
        </w:rPr>
        <w:t>等国家级公共服务平台建立长效合作机制。健全完善版权登记服务网络体系。</w:t>
      </w:r>
    </w:p>
    <w:p>
      <w:pPr>
        <w:pStyle w:val="4"/>
        <w:widowControl/>
        <w:spacing w:before="0" w:after="0" w:line="580" w:lineRule="exact"/>
        <w:ind w:firstLine="643" w:firstLineChars="200"/>
        <w:rPr>
          <w:rFonts w:ascii="Times New Roman" w:hAnsi="Times New Roman" w:eastAsia="楷体"/>
          <w:color w:val="auto"/>
        </w:rPr>
      </w:pPr>
      <w:bookmarkStart w:id="28" w:name="_Toc19661"/>
      <w:bookmarkStart w:id="29" w:name="_Toc80863159"/>
      <w:r>
        <w:rPr>
          <w:rFonts w:hint="eastAsia" w:ascii="Times New Roman" w:hAnsi="Times New Roman" w:eastAsia="楷体"/>
          <w:color w:val="auto"/>
        </w:rPr>
        <w:t>（五）大力发展知识产权服务业</w:t>
      </w:r>
      <w:bookmarkEnd w:id="28"/>
      <w:bookmarkEnd w:id="29"/>
    </w:p>
    <w:p>
      <w:pPr>
        <w:widowControl/>
        <w:spacing w:line="580" w:lineRule="exact"/>
        <w:ind w:firstLine="640" w:firstLineChars="200"/>
        <w:rPr>
          <w:rFonts w:ascii="Times New Roman" w:hAnsi="Times New Roman" w:eastAsia="仿宋"/>
          <w:color w:val="auto"/>
          <w:sz w:val="32"/>
          <w:szCs w:val="32"/>
          <w:lang w:eastAsia="zh-Hans"/>
        </w:rPr>
      </w:pPr>
      <w:r>
        <w:rPr>
          <w:rFonts w:hint="eastAsia" w:ascii="Times New Roman" w:hAnsi="Times New Roman" w:eastAsia="仿宋"/>
          <w:color w:val="auto"/>
          <w:sz w:val="32"/>
          <w:szCs w:val="32"/>
          <w:lang w:eastAsia="zh-Hans"/>
        </w:rPr>
        <w:t>加强知识产权服务机构规范管理。培育知识产权服务行业</w:t>
      </w:r>
      <w:r>
        <w:rPr>
          <w:rFonts w:hint="eastAsia" w:ascii="Times New Roman" w:hAnsi="Times New Roman" w:eastAsia="仿宋"/>
          <w:color w:val="auto"/>
          <w:sz w:val="32"/>
          <w:szCs w:val="32"/>
        </w:rPr>
        <w:t>协会</w:t>
      </w:r>
      <w:r>
        <w:rPr>
          <w:rFonts w:hint="eastAsia" w:ascii="Times New Roman" w:hAnsi="Times New Roman" w:eastAsia="仿宋"/>
          <w:color w:val="auto"/>
          <w:sz w:val="32"/>
          <w:szCs w:val="32"/>
          <w:lang w:eastAsia="zh-Hans"/>
        </w:rPr>
        <w:t>，强化行业自律</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eastAsia="zh-Hans"/>
        </w:rPr>
        <w:t>加强知识产权服务业监</w:t>
      </w:r>
      <w:r>
        <w:rPr>
          <w:rFonts w:hint="eastAsia" w:ascii="Times New Roman" w:hAnsi="Times New Roman" w:eastAsia="仿宋"/>
          <w:color w:val="auto"/>
          <w:sz w:val="32"/>
          <w:szCs w:val="32"/>
        </w:rPr>
        <w:t>管</w:t>
      </w:r>
      <w:r>
        <w:rPr>
          <w:rFonts w:hint="eastAsia" w:ascii="Times New Roman" w:hAnsi="Times New Roman" w:eastAsia="仿宋"/>
          <w:color w:val="auto"/>
          <w:sz w:val="32"/>
          <w:szCs w:val="32"/>
          <w:lang w:eastAsia="zh-Hans"/>
        </w:rPr>
        <w:t>，打击无资质代理、非正常申请等违法违规行为。培育知识产权品牌服务机构。规范政策环境和市场体系，引进和培育知识产权品牌服务机构，促进知识产权服务业向价值链</w:t>
      </w:r>
      <w:r>
        <w:rPr>
          <w:rFonts w:hint="eastAsia" w:ascii="Times New Roman" w:hAnsi="Times New Roman" w:eastAsia="仿宋"/>
          <w:color w:val="auto"/>
          <w:sz w:val="32"/>
          <w:szCs w:val="32"/>
        </w:rPr>
        <w:t>中</w:t>
      </w:r>
      <w:r>
        <w:rPr>
          <w:rFonts w:hint="eastAsia" w:ascii="Times New Roman" w:hAnsi="Times New Roman" w:eastAsia="仿宋"/>
          <w:color w:val="auto"/>
          <w:sz w:val="32"/>
          <w:szCs w:val="32"/>
          <w:lang w:eastAsia="zh-Hans"/>
        </w:rPr>
        <w:t>高端</w:t>
      </w:r>
      <w:r>
        <w:rPr>
          <w:rFonts w:hint="eastAsia" w:ascii="Times New Roman" w:hAnsi="Times New Roman" w:eastAsia="仿宋"/>
          <w:color w:val="auto"/>
          <w:sz w:val="32"/>
          <w:szCs w:val="32"/>
        </w:rPr>
        <w:t>攀</w:t>
      </w:r>
      <w:r>
        <w:rPr>
          <w:rFonts w:hint="eastAsia" w:ascii="Times New Roman" w:hAnsi="Times New Roman" w:eastAsia="仿宋"/>
          <w:color w:val="auto"/>
          <w:sz w:val="32"/>
          <w:szCs w:val="32"/>
          <w:lang w:eastAsia="zh-Hans"/>
        </w:rPr>
        <w:t>伸。开展科技成果转化行动，建立一批科研成果转化服务中心，培育一批科技中介服务机构，畅通研发到产业的“最后一公里”。促进知识产权服务业集聚发展。促进知识产权服务机构标准体系建设与运用，全面提升知识产权代理、法律、信息、商用化、咨询和培训服务水平。加快知识产权服务业集聚区建设。</w:t>
      </w:r>
      <w:r>
        <w:rPr>
          <w:rFonts w:hint="eastAsia" w:ascii="Times New Roman" w:hAnsi="Times New Roman" w:eastAsia="仿宋"/>
          <w:color w:val="auto"/>
          <w:sz w:val="32"/>
          <w:szCs w:val="32"/>
        </w:rPr>
        <w:t>大</w:t>
      </w:r>
      <w:r>
        <w:rPr>
          <w:rFonts w:hint="eastAsia" w:ascii="Times New Roman" w:hAnsi="Times New Roman" w:eastAsia="仿宋"/>
          <w:color w:val="auto"/>
          <w:sz w:val="32"/>
          <w:szCs w:val="32"/>
          <w:lang w:eastAsia="zh-Hans"/>
        </w:rPr>
        <w:t>力引进高水平知识产权</w:t>
      </w:r>
      <w:r>
        <w:rPr>
          <w:rFonts w:hint="eastAsia" w:ascii="Times New Roman" w:hAnsi="Times New Roman" w:eastAsia="仿宋"/>
          <w:color w:val="auto"/>
          <w:sz w:val="32"/>
          <w:szCs w:val="32"/>
        </w:rPr>
        <w:t>服务</w:t>
      </w:r>
      <w:r>
        <w:rPr>
          <w:rFonts w:hint="eastAsia" w:ascii="Times New Roman" w:hAnsi="Times New Roman" w:eastAsia="仿宋"/>
          <w:color w:val="auto"/>
          <w:sz w:val="32"/>
          <w:szCs w:val="32"/>
          <w:lang w:eastAsia="zh-Hans"/>
        </w:rPr>
        <w:t>机构</w:t>
      </w:r>
      <w:r>
        <w:rPr>
          <w:rFonts w:hint="eastAsia" w:ascii="Times New Roman" w:hAnsi="Times New Roman" w:eastAsia="仿宋"/>
          <w:color w:val="auto"/>
          <w:sz w:val="32"/>
          <w:szCs w:val="32"/>
        </w:rPr>
        <w:t>，在</w:t>
      </w:r>
      <w:r>
        <w:rPr>
          <w:rFonts w:hint="eastAsia" w:ascii="Times New Roman" w:hAnsi="Times New Roman" w:eastAsia="仿宋"/>
          <w:color w:val="auto"/>
          <w:sz w:val="32"/>
          <w:szCs w:val="32"/>
          <w:lang w:eastAsia="zh-Hans"/>
        </w:rPr>
        <w:t>产业创新服务综合体打造</w:t>
      </w:r>
      <w:r>
        <w:rPr>
          <w:rFonts w:hint="eastAsia" w:ascii="Times New Roman" w:hAnsi="Times New Roman" w:eastAsia="仿宋"/>
          <w:color w:val="auto"/>
          <w:sz w:val="32"/>
          <w:szCs w:val="32"/>
        </w:rPr>
        <w:t>知识产权服务功能区</w:t>
      </w:r>
      <w:r>
        <w:rPr>
          <w:rFonts w:hint="eastAsia" w:ascii="Times New Roman" w:hAnsi="Times New Roman" w:eastAsia="仿宋"/>
          <w:color w:val="auto"/>
          <w:sz w:val="32"/>
          <w:szCs w:val="32"/>
          <w:lang w:eastAsia="zh-Hans"/>
        </w:rPr>
        <w:t>。</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ascii="Times New Roman" w:hAnsi="Times New Roman" w:eastAsia="仿宋_GB2312"/>
                <w:b/>
                <w:bCs/>
                <w:color w:val="auto"/>
                <w:sz w:val="28"/>
                <w:szCs w:val="28"/>
                <w:lang w:eastAsia="zh-Hans"/>
              </w:rPr>
              <w:t>专栏</w:t>
            </w:r>
            <w:r>
              <w:rPr>
                <w:rFonts w:ascii="Times New Roman" w:hAnsi="Times New Roman" w:eastAsia="仿宋_GB2312"/>
                <w:b/>
                <w:bCs/>
                <w:color w:val="auto"/>
                <w:sz w:val="28"/>
                <w:szCs w:val="28"/>
                <w:lang w:eastAsia="zh-Hans"/>
              </w:rPr>
              <w:t>5</w:t>
            </w:r>
            <w:r>
              <w:rPr>
                <w:rFonts w:hint="eastAsia" w:ascii="Times New Roman" w:hAnsi="Times New Roman" w:eastAsia="仿宋_GB2312"/>
                <w:b/>
                <w:bCs/>
                <w:color w:val="auto"/>
                <w:sz w:val="28"/>
                <w:szCs w:val="28"/>
                <w:lang w:eastAsia="zh-Hans"/>
              </w:rPr>
              <w:t>：知识产权服务业品牌机构培育工程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spacing w:line="336" w:lineRule="auto"/>
              <w:ind w:firstLine="560"/>
              <w:rPr>
                <w:color w:val="auto"/>
                <w:sz w:val="28"/>
                <w:szCs w:val="28"/>
                <w:lang w:eastAsia="zh-Hans"/>
              </w:rPr>
            </w:pPr>
            <w:r>
              <w:rPr>
                <w:rFonts w:hint="eastAsia"/>
                <w:color w:val="auto"/>
                <w:sz w:val="28"/>
                <w:szCs w:val="28"/>
                <w:lang w:eastAsia="zh-Hans"/>
              </w:rPr>
              <w:t>——积极培育高品质知识产权服务机构。促进知识产权服务机构向品牌化、高端化、集成化、国际化方向发展，为企业提供信息预警、分析评估、代理、投融资、维权、培训等知识产权“一站式”服务。</w:t>
            </w:r>
            <w:r>
              <w:rPr>
                <w:rFonts w:hint="eastAsia"/>
                <w:color w:val="auto"/>
                <w:sz w:val="28"/>
                <w:szCs w:val="28"/>
              </w:rPr>
              <w:t>到</w:t>
            </w:r>
            <w:r>
              <w:rPr>
                <w:color w:val="auto"/>
                <w:sz w:val="28"/>
                <w:szCs w:val="28"/>
              </w:rPr>
              <w:t>2025年，全</w:t>
            </w:r>
            <w:r>
              <w:rPr>
                <w:rFonts w:hint="eastAsia"/>
                <w:color w:val="auto"/>
                <w:sz w:val="28"/>
                <w:szCs w:val="28"/>
              </w:rPr>
              <w:t>市备案专利代理机构</w:t>
            </w:r>
            <w:r>
              <w:rPr>
                <w:color w:val="auto"/>
                <w:sz w:val="28"/>
                <w:szCs w:val="28"/>
              </w:rPr>
              <w:t>数量达到12家。</w:t>
            </w:r>
          </w:p>
          <w:p>
            <w:pPr>
              <w:pStyle w:val="27"/>
              <w:widowControl/>
              <w:spacing w:line="336" w:lineRule="auto"/>
              <w:ind w:firstLine="560"/>
              <w:rPr>
                <w:color w:val="auto"/>
                <w:sz w:val="28"/>
                <w:szCs w:val="28"/>
                <w:lang w:eastAsia="zh-Hans"/>
              </w:rPr>
            </w:pPr>
            <w:r>
              <w:rPr>
                <w:rFonts w:hint="eastAsia"/>
                <w:color w:val="auto"/>
                <w:sz w:val="28"/>
                <w:szCs w:val="28"/>
                <w:lang w:eastAsia="zh-Hans"/>
              </w:rPr>
              <w:t>——鼓励优质服务机构入驻丽水。吸引国家级知识产权品牌服务机构在丽水设立分支机构或全资子公司，并在办公场地、公共服务、运营补助等方面提供支持。</w:t>
            </w:r>
          </w:p>
          <w:p>
            <w:pPr>
              <w:pStyle w:val="27"/>
              <w:widowControl/>
              <w:spacing w:line="336" w:lineRule="auto"/>
              <w:ind w:firstLine="560"/>
              <w:rPr>
                <w:rFonts w:cs="Times New Roman"/>
                <w:color w:val="auto"/>
                <w:sz w:val="28"/>
                <w:szCs w:val="28"/>
              </w:rPr>
            </w:pPr>
            <w:r>
              <w:rPr>
                <w:rFonts w:hint="eastAsia"/>
                <w:color w:val="auto"/>
                <w:sz w:val="28"/>
                <w:szCs w:val="28"/>
              </w:rPr>
              <w:t>——</w:t>
            </w:r>
            <w:r>
              <w:rPr>
                <w:color w:val="auto"/>
                <w:sz w:val="28"/>
                <w:szCs w:val="28"/>
              </w:rPr>
              <w:t>全面实施知识产权服务机构</w:t>
            </w:r>
            <w:r>
              <w:rPr>
                <w:rFonts w:hint="eastAsia"/>
                <w:color w:val="auto"/>
                <w:sz w:val="28"/>
                <w:szCs w:val="28"/>
              </w:rPr>
              <w:t>监管</w:t>
            </w:r>
            <w:r>
              <w:rPr>
                <w:color w:val="auto"/>
                <w:sz w:val="28"/>
                <w:szCs w:val="28"/>
              </w:rPr>
              <w:t>“双随机、一公开”制度，</w:t>
            </w:r>
            <w:r>
              <w:rPr>
                <w:rFonts w:hint="eastAsia"/>
                <w:color w:val="auto"/>
                <w:sz w:val="28"/>
                <w:szCs w:val="28"/>
              </w:rPr>
              <w:t>实施</w:t>
            </w:r>
            <w:r>
              <w:rPr>
                <w:color w:val="auto"/>
                <w:sz w:val="28"/>
                <w:szCs w:val="28"/>
              </w:rPr>
              <w:t>服务机构星级评定和榜单制度，</w:t>
            </w:r>
            <w:r>
              <w:rPr>
                <w:rFonts w:hint="eastAsia"/>
                <w:color w:val="auto"/>
                <w:sz w:val="28"/>
                <w:szCs w:val="28"/>
              </w:rPr>
              <w:t>力促</w:t>
            </w:r>
            <w:r>
              <w:rPr>
                <w:color w:val="auto"/>
                <w:sz w:val="28"/>
                <w:szCs w:val="28"/>
              </w:rPr>
              <w:t>知识产权服务市场竞争更加公开透明</w:t>
            </w:r>
            <w:r>
              <w:rPr>
                <w:rFonts w:hint="eastAsia"/>
                <w:color w:val="auto"/>
                <w:sz w:val="28"/>
                <w:szCs w:val="28"/>
              </w:rPr>
              <w:t>，营商环境更加优化</w:t>
            </w:r>
            <w:r>
              <w:rPr>
                <w:color w:val="auto"/>
                <w:sz w:val="28"/>
                <w:szCs w:val="28"/>
              </w:rPr>
              <w:t>。“十四五”期间，全</w:t>
            </w:r>
            <w:r>
              <w:rPr>
                <w:rFonts w:hint="eastAsia"/>
                <w:color w:val="auto"/>
                <w:sz w:val="28"/>
                <w:szCs w:val="28"/>
              </w:rPr>
              <w:t>市</w:t>
            </w:r>
            <w:r>
              <w:rPr>
                <w:color w:val="auto"/>
                <w:sz w:val="28"/>
                <w:szCs w:val="28"/>
              </w:rPr>
              <w:t>知识产权服务业收入年均增幅达到15%以上。</w:t>
            </w:r>
          </w:p>
        </w:tc>
      </w:tr>
    </w:tbl>
    <w:p>
      <w:pPr>
        <w:pStyle w:val="3"/>
        <w:widowControl/>
        <w:spacing w:before="0" w:after="0" w:line="580" w:lineRule="exact"/>
        <w:ind w:firstLine="600" w:firstLineChars="200"/>
        <w:rPr>
          <w:rFonts w:ascii="Times New Roman" w:hAnsi="Times New Roman" w:eastAsia="黑体"/>
          <w:b w:val="0"/>
          <w:bCs w:val="0"/>
          <w:color w:val="auto"/>
          <w:sz w:val="30"/>
          <w:szCs w:val="30"/>
        </w:rPr>
      </w:pPr>
      <w:bookmarkStart w:id="30" w:name="_Toc9778"/>
      <w:bookmarkStart w:id="31" w:name="_Toc80863160"/>
      <w:r>
        <w:rPr>
          <w:rFonts w:hint="eastAsia" w:ascii="Times New Roman" w:hAnsi="Times New Roman" w:eastAsia="黑体"/>
          <w:b w:val="0"/>
          <w:bCs w:val="0"/>
          <w:color w:val="auto"/>
          <w:sz w:val="30"/>
          <w:szCs w:val="30"/>
        </w:rPr>
        <w:t>四、赋能产业，开启知识产权运用新局面</w:t>
      </w:r>
      <w:bookmarkEnd w:id="30"/>
      <w:bookmarkEnd w:id="31"/>
    </w:p>
    <w:p>
      <w:pPr>
        <w:pStyle w:val="4"/>
        <w:widowControl/>
        <w:spacing w:before="0" w:after="0" w:line="580" w:lineRule="exact"/>
        <w:ind w:firstLine="643" w:firstLineChars="200"/>
        <w:rPr>
          <w:rFonts w:ascii="Times New Roman" w:hAnsi="Times New Roman" w:eastAsia="楷体"/>
          <w:color w:val="auto"/>
        </w:rPr>
      </w:pPr>
      <w:bookmarkStart w:id="32" w:name="_Toc10137"/>
      <w:bookmarkStart w:id="33" w:name="_Toc80863161"/>
      <w:r>
        <w:rPr>
          <w:rFonts w:hint="eastAsia" w:ascii="Times New Roman" w:hAnsi="Times New Roman" w:eastAsia="楷体"/>
          <w:color w:val="auto"/>
        </w:rPr>
        <w:t>（一）强化知识产权产业支撑机制</w:t>
      </w:r>
      <w:bookmarkEnd w:id="32"/>
      <w:bookmarkEnd w:id="33"/>
      <w:r>
        <w:rPr>
          <w:rFonts w:ascii="Times New Roman" w:hAnsi="Times New Roman" w:eastAsia="楷体"/>
          <w:color w:val="auto"/>
        </w:rPr>
        <w:tab/>
      </w:r>
    </w:p>
    <w:p>
      <w:pPr>
        <w:widowControl/>
        <w:spacing w:line="580" w:lineRule="exact"/>
        <w:ind w:firstLine="640" w:firstLineChars="200"/>
        <w:rPr>
          <w:rFonts w:ascii="Times New Roman" w:hAnsi="Times New Roman" w:eastAsia="仿宋"/>
          <w:color w:val="auto"/>
          <w:sz w:val="32"/>
          <w:szCs w:val="32"/>
          <w:lang w:eastAsia="zh-Hans"/>
        </w:rPr>
      </w:pPr>
      <w:r>
        <w:rPr>
          <w:rFonts w:hint="eastAsia" w:ascii="Times New Roman" w:hAnsi="Times New Roman" w:eastAsia="仿宋"/>
          <w:color w:val="auto"/>
          <w:sz w:val="32"/>
          <w:szCs w:val="32"/>
        </w:rPr>
        <w:t>推动重点</w:t>
      </w:r>
      <w:r>
        <w:rPr>
          <w:rFonts w:hint="eastAsia" w:ascii="Times New Roman" w:hAnsi="Times New Roman" w:eastAsia="仿宋"/>
          <w:color w:val="auto"/>
          <w:sz w:val="32"/>
          <w:szCs w:val="32"/>
          <w:lang w:eastAsia="zh-Hans"/>
        </w:rPr>
        <w:t>产业知识产权密集</w:t>
      </w:r>
      <w:r>
        <w:rPr>
          <w:rFonts w:hint="eastAsia" w:ascii="Times New Roman" w:hAnsi="Times New Roman" w:eastAsia="仿宋"/>
          <w:color w:val="auto"/>
          <w:sz w:val="32"/>
          <w:szCs w:val="32"/>
        </w:rPr>
        <w:t>化</w:t>
      </w:r>
      <w:r>
        <w:rPr>
          <w:rFonts w:hint="eastAsia" w:ascii="Times New Roman" w:hAnsi="Times New Roman" w:eastAsia="仿宋"/>
          <w:color w:val="auto"/>
          <w:sz w:val="32"/>
          <w:szCs w:val="32"/>
          <w:lang w:eastAsia="zh-Hans"/>
        </w:rPr>
        <w:t>。聚焦半导体全链条、精密制造、健康医药、时尚产业、数字经济等五大产业集群</w:t>
      </w:r>
      <w:r>
        <w:rPr>
          <w:rFonts w:hint="eastAsia" w:ascii="Times New Roman" w:hAnsi="Times New Roman" w:eastAsia="仿宋"/>
          <w:color w:val="auto"/>
          <w:sz w:val="32"/>
          <w:szCs w:val="32"/>
        </w:rPr>
        <w:t>以及</w:t>
      </w:r>
      <w:r>
        <w:rPr>
          <w:rFonts w:hint="eastAsia" w:ascii="Times New Roman" w:hAnsi="Times New Roman" w:eastAsia="仿宋"/>
          <w:color w:val="auto"/>
          <w:sz w:val="32"/>
          <w:szCs w:val="32"/>
          <w:lang w:eastAsia="zh-Hans"/>
        </w:rPr>
        <w:t>食用菌、剑瓷、竹木制品加工等</w:t>
      </w:r>
      <w:r>
        <w:rPr>
          <w:rFonts w:hint="eastAsia" w:ascii="Times New Roman" w:hAnsi="Times New Roman" w:eastAsia="仿宋"/>
          <w:color w:val="auto"/>
          <w:sz w:val="32"/>
          <w:szCs w:val="32"/>
        </w:rPr>
        <w:t>特色</w:t>
      </w:r>
      <w:r>
        <w:rPr>
          <w:rFonts w:hint="eastAsia" w:ascii="Times New Roman" w:hAnsi="Times New Roman" w:eastAsia="仿宋"/>
          <w:color w:val="auto"/>
          <w:sz w:val="32"/>
          <w:szCs w:val="32"/>
          <w:lang w:eastAsia="zh-Hans"/>
        </w:rPr>
        <w:t>产业，</w:t>
      </w:r>
      <w:r>
        <w:rPr>
          <w:rFonts w:hint="eastAsia" w:ascii="Times New Roman" w:hAnsi="Times New Roman" w:eastAsia="仿宋"/>
          <w:color w:val="auto"/>
          <w:sz w:val="32"/>
          <w:szCs w:val="32"/>
        </w:rPr>
        <w:t>开展</w:t>
      </w:r>
      <w:r>
        <w:rPr>
          <w:rFonts w:hint="eastAsia" w:ascii="Times New Roman" w:hAnsi="Times New Roman" w:eastAsia="仿宋"/>
          <w:color w:val="auto"/>
          <w:sz w:val="32"/>
          <w:szCs w:val="32"/>
          <w:lang w:eastAsia="zh-Hans"/>
        </w:rPr>
        <w:t>专利导航</w:t>
      </w:r>
      <w:r>
        <w:rPr>
          <w:rFonts w:hint="eastAsia" w:ascii="Times New Roman" w:hAnsi="Times New Roman" w:eastAsia="仿宋"/>
          <w:color w:val="auto"/>
          <w:sz w:val="32"/>
          <w:szCs w:val="32"/>
        </w:rPr>
        <w:t>及布局</w:t>
      </w:r>
      <w:r>
        <w:rPr>
          <w:rFonts w:hint="eastAsia" w:ascii="Times New Roman" w:hAnsi="Times New Roman" w:eastAsia="仿宋"/>
          <w:color w:val="auto"/>
          <w:sz w:val="32"/>
          <w:szCs w:val="32"/>
          <w:lang w:eastAsia="zh-Hans"/>
        </w:rPr>
        <w:t>，绘制未来产业、重点产业</w:t>
      </w:r>
      <w:r>
        <w:rPr>
          <w:rFonts w:hint="eastAsia" w:ascii="Times New Roman" w:hAnsi="Times New Roman" w:eastAsia="仿宋"/>
          <w:color w:val="auto"/>
          <w:sz w:val="32"/>
          <w:szCs w:val="32"/>
        </w:rPr>
        <w:t>的</w:t>
      </w:r>
      <w:r>
        <w:rPr>
          <w:rFonts w:hint="eastAsia" w:ascii="Times New Roman" w:hAnsi="Times New Roman" w:eastAsia="仿宋"/>
          <w:color w:val="auto"/>
          <w:sz w:val="32"/>
          <w:szCs w:val="32"/>
          <w:lang w:eastAsia="zh-Hans"/>
        </w:rPr>
        <w:t>知识产权图谱</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eastAsia="zh-Hans"/>
        </w:rPr>
        <w:t>实施区域重大产业规划、政府重大投资项目知识产权评议制度，打造</w:t>
      </w:r>
      <w:r>
        <w:rPr>
          <w:rFonts w:hint="eastAsia" w:ascii="Times New Roman" w:hAnsi="Times New Roman" w:eastAsia="仿宋"/>
          <w:color w:val="auto"/>
          <w:sz w:val="32"/>
          <w:szCs w:val="32"/>
        </w:rPr>
        <w:t>一批具有</w:t>
      </w:r>
      <w:r>
        <w:rPr>
          <w:rFonts w:hint="eastAsia" w:ascii="Times New Roman" w:hAnsi="Times New Roman" w:eastAsia="仿宋"/>
          <w:color w:val="auto"/>
          <w:sz w:val="32"/>
          <w:szCs w:val="32"/>
          <w:lang w:eastAsia="zh-Hans"/>
        </w:rPr>
        <w:t>代表性</w:t>
      </w:r>
      <w:r>
        <w:rPr>
          <w:rFonts w:hint="eastAsia" w:ascii="Times New Roman" w:hAnsi="Times New Roman" w:eastAsia="仿宋"/>
          <w:color w:val="auto"/>
          <w:sz w:val="32"/>
          <w:szCs w:val="32"/>
        </w:rPr>
        <w:t>的</w:t>
      </w:r>
      <w:r>
        <w:rPr>
          <w:rFonts w:hint="eastAsia" w:ascii="Times New Roman" w:hAnsi="Times New Roman" w:eastAsia="仿宋"/>
          <w:color w:val="auto"/>
          <w:sz w:val="32"/>
          <w:szCs w:val="32"/>
          <w:lang w:eastAsia="zh-Hans"/>
        </w:rPr>
        <w:t>知识产权密集型产业。实施高价值专利组合培育计划。依托行业协会</w:t>
      </w:r>
      <w:r>
        <w:rPr>
          <w:rFonts w:hint="eastAsia" w:ascii="Times New Roman" w:hAnsi="Times New Roman" w:eastAsia="仿宋"/>
          <w:color w:val="auto"/>
          <w:sz w:val="32"/>
          <w:szCs w:val="32"/>
        </w:rPr>
        <w:t>和龙头企业，引导</w:t>
      </w:r>
      <w:r>
        <w:rPr>
          <w:rFonts w:hint="eastAsia" w:ascii="Times New Roman" w:hAnsi="Times New Roman" w:eastAsia="仿宋"/>
          <w:color w:val="auto"/>
          <w:sz w:val="32"/>
          <w:szCs w:val="32"/>
          <w:lang w:eastAsia="zh-Hans"/>
        </w:rPr>
        <w:t>产业密集区</w:t>
      </w:r>
      <w:r>
        <w:rPr>
          <w:rFonts w:hint="eastAsia" w:ascii="Times New Roman" w:hAnsi="Times New Roman" w:eastAsia="仿宋"/>
          <w:color w:val="auto"/>
          <w:sz w:val="32"/>
          <w:szCs w:val="32"/>
        </w:rPr>
        <w:t>企业</w:t>
      </w:r>
      <w:r>
        <w:rPr>
          <w:rFonts w:hint="eastAsia" w:ascii="Times New Roman" w:hAnsi="Times New Roman" w:eastAsia="仿宋"/>
          <w:color w:val="auto"/>
          <w:sz w:val="32"/>
          <w:szCs w:val="32"/>
          <w:lang w:eastAsia="zh-Hans"/>
        </w:rPr>
        <w:t>组建知识产权联盟</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eastAsia="zh-Hans"/>
        </w:rPr>
        <w:t>开展协同创新</w:t>
      </w:r>
      <w:r>
        <w:rPr>
          <w:rFonts w:hint="eastAsia" w:ascii="Times New Roman" w:hAnsi="Times New Roman" w:eastAsia="仿宋"/>
          <w:color w:val="auto"/>
          <w:sz w:val="32"/>
          <w:szCs w:val="32"/>
        </w:rPr>
        <w:t>和保护</w:t>
      </w:r>
      <w:r>
        <w:rPr>
          <w:rFonts w:hint="eastAsia" w:ascii="Times New Roman" w:hAnsi="Times New Roman" w:eastAsia="仿宋"/>
          <w:color w:val="auto"/>
          <w:sz w:val="32"/>
          <w:szCs w:val="32"/>
          <w:lang w:eastAsia="zh-Hans"/>
        </w:rPr>
        <w:t>，实施创新链产业链“双链”融合提质项目，促进关键技术的研发和应用，培育一批高价值专利</w:t>
      </w:r>
      <w:r>
        <w:rPr>
          <w:rFonts w:hint="eastAsia" w:ascii="Times New Roman" w:hAnsi="Times New Roman" w:eastAsia="仿宋"/>
          <w:color w:val="auto"/>
          <w:sz w:val="32"/>
          <w:szCs w:val="32"/>
        </w:rPr>
        <w:t>组合和</w:t>
      </w:r>
      <w:r>
        <w:rPr>
          <w:rFonts w:hint="eastAsia" w:ascii="Times New Roman" w:hAnsi="Times New Roman" w:eastAsia="仿宋"/>
          <w:color w:val="auto"/>
          <w:sz w:val="32"/>
          <w:szCs w:val="32"/>
          <w:lang w:eastAsia="zh-Hans"/>
        </w:rPr>
        <w:t>标准必要专利。</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ascii="Times New Roman" w:hAnsi="Times New Roman" w:eastAsia="仿宋_GB2312"/>
                <w:b/>
                <w:bCs/>
                <w:color w:val="auto"/>
                <w:sz w:val="28"/>
                <w:szCs w:val="28"/>
                <w:lang w:eastAsia="zh-Hans"/>
              </w:rPr>
              <w:t>专栏</w:t>
            </w:r>
            <w:r>
              <w:rPr>
                <w:rFonts w:ascii="Times New Roman" w:hAnsi="Times New Roman" w:eastAsia="仿宋_GB2312"/>
                <w:b/>
                <w:bCs/>
                <w:color w:val="auto"/>
                <w:sz w:val="28"/>
                <w:szCs w:val="28"/>
                <w:lang w:eastAsia="zh-Hans"/>
              </w:rPr>
              <w:t>6</w:t>
            </w:r>
            <w:r>
              <w:rPr>
                <w:rFonts w:hint="eastAsia" w:ascii="Times New Roman" w:hAnsi="Times New Roman" w:eastAsia="仿宋_GB2312"/>
                <w:b/>
                <w:bCs/>
                <w:color w:val="auto"/>
                <w:sz w:val="28"/>
                <w:szCs w:val="28"/>
                <w:lang w:eastAsia="zh-Hans"/>
              </w:rPr>
              <w:t>：重点产业知识产权战略支撑工程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spacing w:line="336" w:lineRule="auto"/>
              <w:ind w:firstLine="560"/>
              <w:rPr>
                <w:color w:val="auto"/>
                <w:sz w:val="28"/>
                <w:szCs w:val="28"/>
                <w:lang w:eastAsia="zh-Hans"/>
              </w:rPr>
            </w:pPr>
            <w:r>
              <w:rPr>
                <w:rFonts w:hint="eastAsia"/>
                <w:color w:val="auto"/>
                <w:sz w:val="28"/>
                <w:szCs w:val="28"/>
              </w:rPr>
              <w:t>——</w:t>
            </w:r>
            <w:r>
              <w:rPr>
                <w:rFonts w:hint="eastAsia"/>
                <w:color w:val="auto"/>
                <w:sz w:val="28"/>
                <w:szCs w:val="28"/>
                <w:lang w:eastAsia="zh-Hans"/>
              </w:rPr>
              <w:t>充分发挥知识产权对五大产业集群的支撑作用</w:t>
            </w:r>
            <w:r>
              <w:rPr>
                <w:color w:val="auto"/>
                <w:sz w:val="28"/>
                <w:szCs w:val="28"/>
                <w:lang w:eastAsia="zh-Hans"/>
              </w:rPr>
              <w:t>，加快高价值核心发明专利布局，在</w:t>
            </w:r>
            <w:r>
              <w:rPr>
                <w:rFonts w:hint="eastAsia"/>
                <w:color w:val="auto"/>
                <w:sz w:val="28"/>
                <w:szCs w:val="28"/>
                <w:lang w:eastAsia="zh-Hans"/>
              </w:rPr>
              <w:t>半导体全链条、精密制造、健康医药、时尚产业、数字经济</w:t>
            </w:r>
            <w:r>
              <w:rPr>
                <w:color w:val="auto"/>
                <w:sz w:val="28"/>
                <w:szCs w:val="28"/>
                <w:lang w:eastAsia="zh-Hans"/>
              </w:rPr>
              <w:t>等领域布局一批国际专利</w:t>
            </w:r>
            <w:r>
              <w:rPr>
                <w:rFonts w:hint="eastAsia"/>
                <w:color w:val="auto"/>
                <w:sz w:val="28"/>
                <w:szCs w:val="28"/>
                <w:lang w:eastAsia="zh-Hans"/>
              </w:rPr>
              <w:t>，</w:t>
            </w:r>
            <w:r>
              <w:rPr>
                <w:color w:val="auto"/>
                <w:sz w:val="28"/>
                <w:szCs w:val="28"/>
                <w:lang w:eastAsia="zh-Hans"/>
              </w:rPr>
              <w:t>形成一批高价值专利组合和标准必要专利。到2025年，全</w:t>
            </w:r>
            <w:r>
              <w:rPr>
                <w:rFonts w:hint="eastAsia"/>
                <w:color w:val="auto"/>
                <w:sz w:val="28"/>
                <w:szCs w:val="28"/>
                <w:lang w:eastAsia="zh-Hans"/>
              </w:rPr>
              <w:t>市五大集群产业有效发明专利拥有量</w:t>
            </w:r>
            <w:r>
              <w:rPr>
                <w:color w:val="auto"/>
                <w:sz w:val="28"/>
                <w:szCs w:val="28"/>
                <w:lang w:eastAsia="zh-Hans"/>
              </w:rPr>
              <w:t>达到2000件。</w:t>
            </w:r>
          </w:p>
          <w:p>
            <w:pPr>
              <w:pStyle w:val="27"/>
              <w:spacing w:line="336" w:lineRule="auto"/>
              <w:ind w:firstLine="560"/>
              <w:rPr>
                <w:color w:val="auto"/>
                <w:sz w:val="28"/>
                <w:szCs w:val="28"/>
                <w:lang w:eastAsia="zh-Hans"/>
              </w:rPr>
            </w:pPr>
            <w:r>
              <w:rPr>
                <w:rFonts w:hint="eastAsia"/>
                <w:color w:val="auto"/>
                <w:sz w:val="28"/>
                <w:szCs w:val="28"/>
                <w:lang w:eastAsia="zh-Hans"/>
              </w:rPr>
              <w:t>——建立知识产权护航产业链机制。在生物医药大健康领域实施一批知识产权评议和预警分析项目，强化产业链知识产权全球布局。在第三代半导体开发应用和金属新材料高端领域开展关键领域知识产权攻关，形成特定进口替代能力，加快第三代功率半导体及光电子前沿的知识产权布局储备，有效化解产业链风险。</w:t>
            </w:r>
          </w:p>
          <w:p>
            <w:pPr>
              <w:pStyle w:val="27"/>
              <w:spacing w:line="336" w:lineRule="auto"/>
              <w:ind w:firstLine="560"/>
              <w:rPr>
                <w:color w:val="auto"/>
                <w:sz w:val="28"/>
                <w:szCs w:val="28"/>
                <w:lang w:eastAsia="zh-Hans"/>
              </w:rPr>
            </w:pPr>
            <w:r>
              <w:rPr>
                <w:rFonts w:hint="eastAsia"/>
                <w:color w:val="auto"/>
                <w:sz w:val="28"/>
                <w:szCs w:val="28"/>
                <w:lang w:eastAsia="zh-Hans"/>
              </w:rPr>
              <w:t>——持续推进实施专利导航项目。面向重点区域、产业、企业组织实施一批高质量的区域规划类、产业规划类和企业经营类专利导航项目。到2025年，全市专利导航项目达到20项以上。加大专利导航成果推广运用。建立重点产业专利导航报告公开发布制度，面向本市行业、企业推广运用专利导航成果，推动企业持续开展知识产权创造与运用；以产业专利导航工作为基础，相应建立产业专利专题数据库，对公众进行开放。</w:t>
            </w:r>
          </w:p>
        </w:tc>
      </w:tr>
    </w:tbl>
    <w:p>
      <w:pPr>
        <w:pStyle w:val="4"/>
        <w:widowControl/>
        <w:spacing w:before="0" w:after="0" w:line="580" w:lineRule="exact"/>
        <w:ind w:firstLine="643" w:firstLineChars="200"/>
        <w:rPr>
          <w:rFonts w:ascii="Times New Roman" w:hAnsi="Times New Roman" w:eastAsia="楷体"/>
          <w:color w:val="auto"/>
        </w:rPr>
      </w:pPr>
      <w:bookmarkStart w:id="34" w:name="_Toc2136"/>
      <w:bookmarkStart w:id="35" w:name="_Toc80863162"/>
      <w:r>
        <w:rPr>
          <w:rFonts w:hint="eastAsia" w:ascii="Times New Roman" w:hAnsi="Times New Roman" w:eastAsia="楷体"/>
          <w:color w:val="auto"/>
        </w:rPr>
        <w:t>（二）拓宽知识产权投融资渠道</w:t>
      </w:r>
      <w:bookmarkEnd w:id="34"/>
      <w:bookmarkEnd w:id="35"/>
    </w:p>
    <w:p>
      <w:pPr>
        <w:widowControl/>
        <w:spacing w:line="580" w:lineRule="exact"/>
        <w:ind w:firstLine="640" w:firstLineChars="200"/>
        <w:rPr>
          <w:rFonts w:ascii="Times New Roman" w:hAnsi="Times New Roman" w:eastAsia="仿宋"/>
          <w:color w:val="auto"/>
          <w:sz w:val="32"/>
          <w:szCs w:val="32"/>
          <w:lang w:eastAsia="zh-Hans"/>
        </w:rPr>
      </w:pPr>
      <w:r>
        <w:rPr>
          <w:rFonts w:hint="eastAsia" w:ascii="Times New Roman" w:hAnsi="Times New Roman" w:eastAsia="仿宋"/>
          <w:color w:val="auto"/>
          <w:sz w:val="32"/>
          <w:szCs w:val="32"/>
          <w:lang w:eastAsia="zh-Hans"/>
        </w:rPr>
        <w:t>激活金融机构知识产权投融资活力。加强政府、银行、担保、保险等相关机构协作，制修订知识产权融资评估、风险控制、资产处置等方案，健全知识产权金融风险补偿机制和费用补贴政策，提高知识产权质押融资</w:t>
      </w:r>
      <w:r>
        <w:rPr>
          <w:rFonts w:hint="eastAsia" w:ascii="Times New Roman" w:hAnsi="Times New Roman" w:eastAsia="仿宋"/>
          <w:color w:val="auto"/>
          <w:sz w:val="32"/>
          <w:szCs w:val="32"/>
        </w:rPr>
        <w:t>规模</w:t>
      </w:r>
      <w:r>
        <w:rPr>
          <w:rFonts w:hint="eastAsia" w:ascii="Times New Roman" w:hAnsi="Times New Roman" w:eastAsia="仿宋"/>
          <w:color w:val="auto"/>
          <w:sz w:val="32"/>
          <w:szCs w:val="32"/>
          <w:lang w:eastAsia="zh-Hans"/>
        </w:rPr>
        <w:t>。创新知识产权金融产品和服务。积极探索建设“科技银行”，建立</w:t>
      </w:r>
      <w:r>
        <w:rPr>
          <w:rFonts w:hint="eastAsia" w:ascii="Times New Roman" w:hAnsi="Times New Roman" w:eastAsia="仿宋"/>
          <w:color w:val="auto"/>
          <w:sz w:val="32"/>
          <w:szCs w:val="32"/>
        </w:rPr>
        <w:t>并</w:t>
      </w:r>
      <w:r>
        <w:rPr>
          <w:rFonts w:hint="eastAsia" w:ascii="Times New Roman" w:hAnsi="Times New Roman" w:eastAsia="仿宋"/>
          <w:color w:val="auto"/>
          <w:sz w:val="32"/>
          <w:szCs w:val="32"/>
          <w:lang w:eastAsia="zh-Hans"/>
        </w:rPr>
        <w:t>完善知识产权融资企业名</w:t>
      </w:r>
      <w:r>
        <w:rPr>
          <w:rFonts w:hint="eastAsia" w:ascii="Times New Roman" w:hAnsi="Times New Roman" w:eastAsia="仿宋"/>
          <w:color w:val="auto"/>
          <w:sz w:val="32"/>
          <w:szCs w:val="32"/>
        </w:rPr>
        <w:t>录</w:t>
      </w:r>
      <w:r>
        <w:rPr>
          <w:rFonts w:hint="eastAsia" w:ascii="Times New Roman" w:hAnsi="Times New Roman" w:eastAsia="仿宋"/>
          <w:color w:val="auto"/>
          <w:sz w:val="32"/>
          <w:szCs w:val="32"/>
          <w:lang w:eastAsia="zh-Hans"/>
        </w:rPr>
        <w:t>，推进专利、商标、著作权</w:t>
      </w:r>
      <w:r>
        <w:rPr>
          <w:rFonts w:ascii="Times New Roman" w:hAnsi="Times New Roman" w:eastAsia="仿宋"/>
          <w:color w:val="auto"/>
          <w:sz w:val="32"/>
          <w:szCs w:val="32"/>
          <w:lang w:eastAsia="zh-Hans"/>
        </w:rPr>
        <w:t>混合质押机制，</w:t>
      </w:r>
      <w:r>
        <w:rPr>
          <w:rFonts w:hint="eastAsia" w:ascii="Times New Roman" w:hAnsi="Times New Roman" w:eastAsia="仿宋"/>
          <w:color w:val="auto"/>
          <w:sz w:val="32"/>
          <w:szCs w:val="32"/>
          <w:lang w:eastAsia="zh-Hans"/>
        </w:rPr>
        <w:t>建立知识产权质押登记线上办理机制</w:t>
      </w:r>
      <w:r>
        <w:rPr>
          <w:rFonts w:ascii="Times New Roman" w:hAnsi="Times New Roman" w:eastAsia="仿宋"/>
          <w:color w:val="auto"/>
          <w:sz w:val="32"/>
          <w:szCs w:val="32"/>
          <w:lang w:eastAsia="zh-Hans"/>
        </w:rPr>
        <w:t>，强化知识产权价值评估，推动知识产权质押与信贷业务联动机制建设，提升企业融资规模和效率。</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ascii="Times New Roman" w:hAnsi="Times New Roman" w:eastAsia="仿宋_GB2312"/>
                <w:b/>
                <w:bCs/>
                <w:color w:val="auto"/>
                <w:sz w:val="28"/>
                <w:szCs w:val="28"/>
                <w:lang w:eastAsia="zh-Hans"/>
              </w:rPr>
              <w:t>专栏7：</w:t>
            </w:r>
            <w:r>
              <w:rPr>
                <w:rFonts w:hint="eastAsia" w:ascii="Times New Roman" w:hAnsi="Times New Roman" w:eastAsia="仿宋_GB2312"/>
                <w:b/>
                <w:bCs/>
                <w:color w:val="auto"/>
                <w:sz w:val="28"/>
                <w:szCs w:val="28"/>
              </w:rPr>
              <w:t xml:space="preserve"> 知识产权</w:t>
            </w:r>
            <w:r>
              <w:rPr>
                <w:rFonts w:hint="eastAsia" w:ascii="Times New Roman" w:hAnsi="Times New Roman" w:eastAsia="仿宋_GB2312"/>
                <w:b/>
                <w:bCs/>
                <w:color w:val="auto"/>
                <w:sz w:val="28"/>
                <w:szCs w:val="28"/>
                <w:lang w:eastAsia="zh-Hans"/>
              </w:rPr>
              <w:t>金融服务创新工程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spacing w:line="336" w:lineRule="auto"/>
              <w:ind w:firstLine="560"/>
              <w:rPr>
                <w:color w:val="auto"/>
                <w:sz w:val="28"/>
                <w:szCs w:val="28"/>
                <w:lang w:eastAsia="zh-Hans"/>
              </w:rPr>
            </w:pPr>
            <w:r>
              <w:rPr>
                <w:rFonts w:hint="eastAsia"/>
                <w:color w:val="auto"/>
                <w:sz w:val="28"/>
                <w:szCs w:val="28"/>
                <w:lang w:eastAsia="zh-Hans"/>
              </w:rPr>
              <w:t>——积极探索知识产权金融产品创新。鼓励设立产业知识产权投资基金，发展天使风险投资，完善利益共享机制。探索企业商标权、专利权、股权、应收账款等多种抵押、质押方式贷款产品，到2</w:t>
            </w:r>
            <w:r>
              <w:rPr>
                <w:color w:val="auto"/>
                <w:sz w:val="28"/>
                <w:szCs w:val="28"/>
                <w:lang w:eastAsia="zh-Hans"/>
              </w:rPr>
              <w:t>025</w:t>
            </w:r>
            <w:r>
              <w:rPr>
                <w:rFonts w:hint="eastAsia"/>
                <w:color w:val="auto"/>
                <w:sz w:val="28"/>
                <w:szCs w:val="28"/>
                <w:lang w:eastAsia="zh-Hans"/>
              </w:rPr>
              <w:t>年，知识产权质押融资登记额达到5</w:t>
            </w:r>
            <w:r>
              <w:rPr>
                <w:color w:val="auto"/>
                <w:sz w:val="28"/>
                <w:szCs w:val="28"/>
                <w:lang w:eastAsia="zh-Hans"/>
              </w:rPr>
              <w:t>0</w:t>
            </w:r>
            <w:r>
              <w:rPr>
                <w:rFonts w:hint="eastAsia"/>
                <w:color w:val="auto"/>
                <w:sz w:val="28"/>
                <w:szCs w:val="28"/>
                <w:lang w:eastAsia="zh-Hans"/>
              </w:rPr>
              <w:t>亿元。</w:t>
            </w:r>
          </w:p>
          <w:p>
            <w:pPr>
              <w:pStyle w:val="27"/>
              <w:spacing w:line="336" w:lineRule="auto"/>
              <w:ind w:firstLine="560"/>
              <w:rPr>
                <w:color w:val="auto"/>
                <w:sz w:val="28"/>
                <w:szCs w:val="28"/>
                <w:lang w:eastAsia="zh-Hans"/>
              </w:rPr>
            </w:pPr>
            <w:r>
              <w:rPr>
                <w:rFonts w:hint="eastAsia"/>
                <w:color w:val="auto"/>
                <w:sz w:val="28"/>
                <w:szCs w:val="28"/>
                <w:lang w:eastAsia="zh-Hans"/>
              </w:rPr>
              <w:t>——积极实践知识产权金融服务创新。继续简化知识产权质押贷款流程，解决中小微企业融资难问题，推动知识产权质押基础上配套“投贷联动”等金融服务，支持制造业企业科技创新。</w:t>
            </w:r>
          </w:p>
          <w:p>
            <w:pPr>
              <w:pStyle w:val="27"/>
              <w:widowControl/>
              <w:spacing w:line="336" w:lineRule="auto"/>
              <w:ind w:firstLine="560"/>
              <w:rPr>
                <w:rFonts w:cs="Times New Roman"/>
                <w:color w:val="auto"/>
                <w:sz w:val="28"/>
                <w:szCs w:val="28"/>
              </w:rPr>
            </w:pPr>
            <w:r>
              <w:rPr>
                <w:rFonts w:hint="eastAsia"/>
                <w:color w:val="auto"/>
                <w:sz w:val="28"/>
                <w:szCs w:val="28"/>
                <w:lang w:eastAsia="zh-Hans"/>
              </w:rPr>
              <w:t>——积极推行专利保险制度。开设适合企业现状的专利险种，包括专利申请费用补偿保险、专利代理责任保险、专利侵权维权费用保险等。</w:t>
            </w:r>
          </w:p>
        </w:tc>
      </w:tr>
    </w:tbl>
    <w:p>
      <w:pPr>
        <w:pStyle w:val="4"/>
        <w:widowControl/>
        <w:spacing w:before="0" w:after="0" w:line="580" w:lineRule="exact"/>
        <w:ind w:firstLine="643" w:firstLineChars="200"/>
        <w:rPr>
          <w:rFonts w:ascii="Times New Roman" w:hAnsi="Times New Roman" w:eastAsia="楷体"/>
          <w:color w:val="auto"/>
        </w:rPr>
      </w:pPr>
      <w:bookmarkStart w:id="36" w:name="_Toc12647"/>
      <w:bookmarkStart w:id="37" w:name="_Toc80863163"/>
      <w:r>
        <w:rPr>
          <w:rFonts w:hint="eastAsia" w:ascii="Times New Roman" w:hAnsi="Times New Roman" w:eastAsia="楷体"/>
          <w:color w:val="auto"/>
        </w:rPr>
        <w:t>（三）促进知识产权成果转化</w:t>
      </w:r>
      <w:bookmarkEnd w:id="36"/>
      <w:bookmarkEnd w:id="37"/>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lang w:eastAsia="zh-Hans"/>
        </w:rPr>
        <w:t>完善知识产权成果转化政策支撑体系。健全以知识产权成果转化为导向的科学评价机制，建立科技成果转化评估制度。通过大数据手段分析筛选高校院所未实施“沉睡专利”，挖掘质量较高、具备市场前景的专利，发现潜在许可实施对象。依法简化知识产权成果转化审批程序，完善知识产权成果转化容错纠错机制，实行审慎包容监管。优化高校、科研院所等高质量知识产权创造与转化激励机制，完善知识产权收益分配机制。确立精准转化调研、精准转化对接、精准转化培育、精准转化服务理念，努力打通高校院所科研成果转化“最后一公里”。制定高校、科研院所和企业知识产权资源共享方案，提高知识产权成果孵化转化效能。鼓励国有企业分享专利技术。引导大型国有企业加大专利技术许可力度，通过先使用后缴纳许可费等方式，降低中小企业专利技术获取门槛。建设线上线下相结合的知识产权成果交易平台。依托上海</w:t>
      </w:r>
      <w:r>
        <w:rPr>
          <w:rFonts w:ascii="Times New Roman" w:hAnsi="Times New Roman" w:eastAsia="仿宋"/>
          <w:color w:val="auto"/>
          <w:sz w:val="32"/>
          <w:szCs w:val="32"/>
          <w:lang w:eastAsia="zh-Hans"/>
        </w:rPr>
        <w:t>知识产权交易中心，建设供需大厅和服务集市两大模块，实现我市项目信息和服务信息的展示和交易功能。探索建立统一的知识产权交易信息标准和转移服务规范，提升信息发布、市场化评估、咨询辅导等专业化服务水平，</w:t>
      </w:r>
      <w:r>
        <w:rPr>
          <w:rFonts w:hint="eastAsia" w:ascii="Times New Roman" w:hAnsi="Times New Roman" w:eastAsia="仿宋"/>
          <w:color w:val="auto"/>
          <w:sz w:val="32"/>
          <w:szCs w:val="32"/>
          <w:lang w:eastAsia="zh-Hans"/>
        </w:rPr>
        <w:t>打造辐射全市、链接全球、开放联动“一站式”服务的</w:t>
      </w:r>
      <w:r>
        <w:rPr>
          <w:rFonts w:ascii="Times New Roman" w:hAnsi="Times New Roman" w:eastAsia="仿宋"/>
          <w:color w:val="auto"/>
          <w:sz w:val="32"/>
          <w:szCs w:val="32"/>
          <w:lang w:eastAsia="zh-Hans"/>
        </w:rPr>
        <w:t>知识产权交易市场网络</w:t>
      </w:r>
      <w:r>
        <w:rPr>
          <w:rFonts w:hint="eastAsia" w:ascii="Times New Roman" w:hAnsi="Times New Roman" w:eastAsia="仿宋"/>
          <w:color w:val="auto"/>
          <w:sz w:val="32"/>
          <w:szCs w:val="32"/>
          <w:lang w:eastAsia="zh-Hans"/>
        </w:rPr>
        <w:t>。</w:t>
      </w:r>
    </w:p>
    <w:p>
      <w:pPr>
        <w:pStyle w:val="4"/>
        <w:widowControl/>
        <w:spacing w:before="0" w:after="0" w:line="580" w:lineRule="exact"/>
        <w:ind w:firstLine="643" w:firstLineChars="200"/>
        <w:rPr>
          <w:rFonts w:ascii="Times New Roman" w:hAnsi="Times New Roman" w:eastAsia="楷体"/>
          <w:color w:val="auto"/>
        </w:rPr>
      </w:pPr>
      <w:bookmarkStart w:id="38" w:name="_Toc19383"/>
      <w:bookmarkStart w:id="39" w:name="_Toc80863164"/>
      <w:r>
        <w:rPr>
          <w:rFonts w:hint="eastAsia" w:ascii="Times New Roman" w:hAnsi="Times New Roman" w:eastAsia="楷体"/>
          <w:color w:val="auto"/>
        </w:rPr>
        <w:t>（四）提升知识产权助力乡村振兴效能</w:t>
      </w:r>
      <w:bookmarkEnd w:id="38"/>
      <w:bookmarkEnd w:id="39"/>
    </w:p>
    <w:p>
      <w:pPr>
        <w:widowControl/>
        <w:spacing w:line="580" w:lineRule="exact"/>
        <w:ind w:firstLine="640" w:firstLineChars="200"/>
        <w:rPr>
          <w:rFonts w:ascii="Times New Roman" w:hAnsi="Times New Roman" w:eastAsia="仿宋"/>
          <w:color w:val="auto"/>
          <w:sz w:val="32"/>
          <w:szCs w:val="32"/>
          <w:lang w:eastAsia="zh-Hans"/>
        </w:rPr>
      </w:pPr>
      <w:r>
        <w:rPr>
          <w:rFonts w:hint="eastAsia" w:ascii="Times New Roman" w:hAnsi="Times New Roman" w:eastAsia="仿宋"/>
          <w:color w:val="auto"/>
          <w:sz w:val="32"/>
          <w:szCs w:val="32"/>
          <w:lang w:eastAsia="zh-Hans"/>
        </w:rPr>
        <w:t>着重打造地理标志品牌。大力发展地理标志农产品，推动品牌打造。深入发展“丽水山耕”“丽水山居”“丽水山泉”“丽水山景”的母子品牌矩阵，高水平打造特色系列区域品牌。强化丽水香茶“</w:t>
      </w:r>
      <w:r>
        <w:rPr>
          <w:rFonts w:ascii="Times New Roman" w:hAnsi="Times New Roman" w:eastAsia="仿宋"/>
          <w:color w:val="auto"/>
          <w:sz w:val="32"/>
          <w:szCs w:val="32"/>
          <w:lang w:eastAsia="zh-Hans"/>
        </w:rPr>
        <w:t>1+N”区域品牌建设，全力打造中国茶产业强市与世界</w:t>
      </w:r>
      <w:r>
        <w:rPr>
          <w:rFonts w:hint="eastAsia" w:ascii="Times New Roman" w:hAnsi="Times New Roman" w:eastAsia="仿宋"/>
          <w:color w:val="auto"/>
          <w:sz w:val="32"/>
          <w:szCs w:val="32"/>
          <w:lang w:eastAsia="zh-Hans"/>
        </w:rPr>
        <w:t>绿茶特色产区。打造地理标志成果运用示范工程。完善地理标志运用促进体系，试点发展“标志-产品-品牌-产业”发展路径，推动地理标志与互联网、电子商务、文化创意、生态旅游等产业深度融合。</w:t>
      </w:r>
      <w:r>
        <w:rPr>
          <w:rFonts w:ascii="Times New Roman" w:hAnsi="Times New Roman" w:eastAsia="仿宋"/>
          <w:color w:val="auto"/>
          <w:sz w:val="32"/>
          <w:szCs w:val="32"/>
          <w:lang w:eastAsia="zh-Hans"/>
        </w:rPr>
        <w:t>指导地理标志产品标准化生产，定期开展标准实施情况的监督检查和评价工作，确保地理标志产品</w:t>
      </w:r>
      <w:r>
        <w:rPr>
          <w:rFonts w:hint="eastAsia" w:ascii="Times New Roman" w:hAnsi="Times New Roman" w:eastAsia="仿宋"/>
          <w:color w:val="auto"/>
          <w:sz w:val="32"/>
          <w:szCs w:val="32"/>
          <w:lang w:eastAsia="zh-Hans"/>
        </w:rPr>
        <w:t>品质，加大地理标志成果的宣传推广力度。强化知识产权对现代精品农业的支撑作用。加强育种领域知识产权保护，建设具有浙西南特色的现代育</w:t>
      </w:r>
      <w:r>
        <w:rPr>
          <w:rFonts w:hint="eastAsia" w:ascii="Times New Roman" w:hAnsi="Times New Roman" w:eastAsia="仿宋"/>
          <w:color w:val="auto"/>
          <w:sz w:val="32"/>
          <w:szCs w:val="32"/>
        </w:rPr>
        <w:t>繁</w:t>
      </w:r>
      <w:r>
        <w:rPr>
          <w:rFonts w:hint="eastAsia" w:ascii="Times New Roman" w:hAnsi="Times New Roman" w:eastAsia="仿宋"/>
          <w:color w:val="auto"/>
          <w:sz w:val="32"/>
          <w:szCs w:val="32"/>
          <w:lang w:eastAsia="zh-Hans"/>
        </w:rPr>
        <w:t>种基地，建立农业知识产权大数据云平台。推广应用食用菌种植和精深加工等现代农业新技术新成果新模式，有效发挥知识产权的支撑作用，促进传统农耕与现代技术有机衔接，打造三产融合的现代高质量绿色发展农业。探索开展知识产权助力共同富裕工程。发挥“云和木玩”“松阳香茶”</w:t>
      </w:r>
      <w:r>
        <w:rPr>
          <w:rFonts w:hint="default" w:ascii="Times New Roman" w:hAnsi="Times New Roman" w:eastAsia="仿宋"/>
          <w:color w:val="auto"/>
          <w:sz w:val="32"/>
          <w:szCs w:val="32"/>
          <w:lang w:eastAsia="zh-Hans"/>
        </w:rPr>
        <w:t>“庆元香菇”</w:t>
      </w:r>
      <w:r>
        <w:rPr>
          <w:rFonts w:hint="eastAsia" w:ascii="Times New Roman" w:hAnsi="Times New Roman" w:eastAsia="仿宋"/>
          <w:color w:val="auto"/>
          <w:sz w:val="32"/>
          <w:szCs w:val="32"/>
          <w:lang w:eastAsia="zh-Hans"/>
        </w:rPr>
        <w:t>等助力共同富裕的典型示范作用，探索创建知识产权助力共同富裕示范点，推动地理标志、传统文化、传统知识等与特色产业发展、区域公用品牌建设、生态可持续发展、历史文化传承有机融合。</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ascii="Times New Roman" w:hAnsi="Times New Roman" w:eastAsia="仿宋_GB2312"/>
                <w:b/>
                <w:bCs/>
                <w:color w:val="auto"/>
                <w:sz w:val="28"/>
                <w:szCs w:val="28"/>
                <w:lang w:eastAsia="zh-Hans"/>
              </w:rPr>
              <w:t>专栏8：知识产权助力乡村振兴工程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widowControl/>
              <w:spacing w:line="336" w:lineRule="auto"/>
              <w:ind w:firstLine="560"/>
              <w:rPr>
                <w:color w:val="auto"/>
                <w:sz w:val="28"/>
                <w:szCs w:val="28"/>
                <w:lang w:eastAsia="zh-Hans"/>
              </w:rPr>
            </w:pPr>
            <w:r>
              <w:rPr>
                <w:rFonts w:hint="eastAsia"/>
                <w:color w:val="auto"/>
                <w:sz w:val="28"/>
                <w:szCs w:val="28"/>
                <w:lang w:eastAsia="zh-Hans"/>
              </w:rPr>
              <w:t>——开展知识产权助力乡村振兴示范区建设，</w:t>
            </w:r>
            <w:r>
              <w:rPr>
                <w:rFonts w:hint="eastAsia"/>
                <w:color w:val="auto"/>
                <w:sz w:val="28"/>
                <w:szCs w:val="28"/>
              </w:rPr>
              <w:t>争当全国乡村振兴排头兵。</w:t>
            </w:r>
            <w:r>
              <w:rPr>
                <w:rFonts w:hint="eastAsia"/>
                <w:color w:val="auto"/>
                <w:sz w:val="28"/>
                <w:szCs w:val="28"/>
                <w:lang w:eastAsia="zh-Hans"/>
              </w:rPr>
              <w:t>出台地理标志和传统文化、传统知识的运用促进政策，强化培育、运用、保护、管理、服务，提升全市地理标志、传统文化、传统知识的品牌经济价值、市场价值、文化价值。</w:t>
            </w:r>
            <w:r>
              <w:rPr>
                <w:rFonts w:hint="eastAsia"/>
                <w:color w:val="auto"/>
                <w:sz w:val="28"/>
                <w:szCs w:val="28"/>
              </w:rPr>
              <w:t>加快地理标志、产业集群区域品牌、证明商标培育，高水平打造“丽水山耕”“丽水山居”“丽水山泉”“丽水山景”特色系列区域品牌，</w:t>
            </w:r>
            <w:r>
              <w:rPr>
                <w:color w:val="auto"/>
                <w:sz w:val="28"/>
                <w:szCs w:val="28"/>
                <w:lang w:eastAsia="zh-Hans"/>
              </w:rPr>
              <w:t>更好培育区域经济发展新动能</w:t>
            </w:r>
            <w:r>
              <w:rPr>
                <w:rFonts w:hint="eastAsia"/>
                <w:color w:val="auto"/>
                <w:sz w:val="28"/>
                <w:szCs w:val="28"/>
              </w:rPr>
              <w:t>。</w:t>
            </w:r>
          </w:p>
          <w:p>
            <w:pPr>
              <w:pStyle w:val="27"/>
              <w:widowControl/>
              <w:spacing w:line="336" w:lineRule="auto"/>
              <w:ind w:firstLine="560"/>
              <w:rPr>
                <w:rFonts w:cs="Times New Roman"/>
                <w:color w:val="auto"/>
                <w:sz w:val="28"/>
                <w:szCs w:val="28"/>
              </w:rPr>
            </w:pPr>
            <w:r>
              <w:rPr>
                <w:rFonts w:hint="eastAsia"/>
                <w:color w:val="auto"/>
                <w:sz w:val="28"/>
                <w:szCs w:val="28"/>
              </w:rPr>
              <w:t>——加强乡村非物质文化遗产保护，持续做好传统村落保护利用工作。</w:t>
            </w:r>
            <w:r>
              <w:rPr>
                <w:color w:val="auto"/>
                <w:sz w:val="28"/>
                <w:szCs w:val="28"/>
                <w:lang w:eastAsia="zh-Hans"/>
              </w:rPr>
              <w:t>推动地理标志、传统文化、传统知识等与特色产业发展、区域公用品牌建设、生态可持续发展、历史文化传承有机融合，服务区域经济和产业提升，促进地方经济高质量发展</w:t>
            </w:r>
            <w:r>
              <w:rPr>
                <w:rFonts w:hint="eastAsia"/>
                <w:color w:val="auto"/>
                <w:sz w:val="28"/>
                <w:szCs w:val="28"/>
                <w:lang w:eastAsia="zh-Hans"/>
              </w:rPr>
              <w:t>。</w:t>
            </w:r>
            <w:r>
              <w:rPr>
                <w:rFonts w:hint="eastAsia"/>
                <w:color w:val="auto"/>
                <w:sz w:val="28"/>
                <w:szCs w:val="28"/>
              </w:rPr>
              <w:t>推进乡村产业“十业万亿”工程建设，到</w:t>
            </w:r>
            <w:r>
              <w:rPr>
                <w:color w:val="auto"/>
                <w:sz w:val="28"/>
                <w:szCs w:val="28"/>
              </w:rPr>
              <w:t>2025年，产业超亿元的乡村振兴联合体</w:t>
            </w:r>
            <w:r>
              <w:rPr>
                <w:rFonts w:hint="eastAsia"/>
                <w:color w:val="auto"/>
                <w:sz w:val="28"/>
                <w:szCs w:val="28"/>
              </w:rPr>
              <w:t>和</w:t>
            </w:r>
            <w:r>
              <w:rPr>
                <w:color w:val="auto"/>
                <w:sz w:val="28"/>
                <w:szCs w:val="28"/>
              </w:rPr>
              <w:t>农业强镇实现知识产权全覆盖。</w:t>
            </w:r>
          </w:p>
        </w:tc>
      </w:tr>
    </w:tbl>
    <w:p>
      <w:pPr>
        <w:pStyle w:val="3"/>
        <w:widowControl/>
        <w:spacing w:before="0" w:after="0" w:line="580" w:lineRule="exact"/>
        <w:ind w:firstLine="640" w:firstLineChars="200"/>
        <w:rPr>
          <w:rFonts w:ascii="Times New Roman" w:hAnsi="Times New Roman" w:eastAsia="黑体"/>
          <w:b w:val="0"/>
          <w:bCs w:val="0"/>
          <w:color w:val="auto"/>
          <w:sz w:val="32"/>
          <w:szCs w:val="32"/>
        </w:rPr>
      </w:pPr>
      <w:bookmarkStart w:id="40" w:name="_Toc26052"/>
      <w:bookmarkStart w:id="41" w:name="_Toc80863165"/>
      <w:r>
        <w:rPr>
          <w:rFonts w:hint="eastAsia" w:ascii="Times New Roman" w:hAnsi="Times New Roman" w:eastAsia="黑体"/>
          <w:b w:val="0"/>
          <w:bCs w:val="0"/>
          <w:color w:val="auto"/>
          <w:sz w:val="32"/>
          <w:szCs w:val="32"/>
        </w:rPr>
        <w:t>五、多措并举，筑建知识产权保护新高地</w:t>
      </w:r>
      <w:bookmarkEnd w:id="40"/>
      <w:bookmarkEnd w:id="41"/>
    </w:p>
    <w:p>
      <w:pPr>
        <w:pStyle w:val="4"/>
        <w:widowControl/>
        <w:spacing w:before="0" w:after="0" w:line="580" w:lineRule="exact"/>
        <w:ind w:firstLine="643" w:firstLineChars="200"/>
        <w:rPr>
          <w:rFonts w:ascii="Times New Roman" w:hAnsi="Times New Roman" w:eastAsia="楷体"/>
          <w:color w:val="auto"/>
        </w:rPr>
      </w:pPr>
      <w:bookmarkStart w:id="42" w:name="_Toc8276"/>
      <w:bookmarkStart w:id="43" w:name="_Toc80863166"/>
      <w:r>
        <w:rPr>
          <w:rFonts w:hint="eastAsia" w:ascii="Times New Roman" w:hAnsi="Times New Roman" w:eastAsia="楷体"/>
          <w:color w:val="auto"/>
        </w:rPr>
        <w:t>（一）树立知识产权“严保护”明确导向</w:t>
      </w:r>
      <w:bookmarkEnd w:id="42"/>
      <w:bookmarkEnd w:id="43"/>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加大对知识产权侵权违法行为的惩戒力度。依法对源头侵权、重复侵权、恶意侵权和规模侵权等行为实施联合惩戒。强化诉源治理，打击虚假诉讼、恶意诉讼，遏制滥用知识产权牟取不正当利益</w:t>
      </w:r>
      <w:r>
        <w:rPr>
          <w:rFonts w:ascii="Times New Roman" w:hAnsi="Times New Roman" w:eastAsia="仿宋"/>
          <w:color w:val="auto"/>
          <w:sz w:val="32"/>
          <w:szCs w:val="32"/>
        </w:rPr>
        <w:t>的行为</w:t>
      </w:r>
      <w:r>
        <w:rPr>
          <w:rFonts w:hint="eastAsia" w:ascii="Times New Roman" w:hAnsi="Times New Roman" w:eastAsia="仿宋"/>
          <w:color w:val="auto"/>
          <w:sz w:val="32"/>
          <w:szCs w:val="32"/>
        </w:rPr>
        <w:t>。加大对危害健康和安全的假冒伪劣行为打击力度。提升知识产权司法保护成效。充分发挥丽水市公检法知识产权刑事司法保护联席会议制度的作用，加强法院、公安、检察机关协调配合，依法严厉</w:t>
      </w:r>
      <w:r>
        <w:rPr>
          <w:rFonts w:hint="eastAsia" w:ascii="Times New Roman" w:hAnsi="Times New Roman" w:eastAsia="仿宋"/>
          <w:color w:val="auto"/>
          <w:sz w:val="32"/>
          <w:szCs w:val="32"/>
          <w:lang w:eastAsia="zh-Hans"/>
        </w:rPr>
        <w:t>打击涉及企业创业创新的科创文创领域知识产权侵权犯罪行为</w:t>
      </w:r>
      <w:r>
        <w:rPr>
          <w:rFonts w:ascii="Times New Roman" w:hAnsi="Times New Roman" w:eastAsia="仿宋"/>
          <w:color w:val="auto"/>
          <w:sz w:val="32"/>
          <w:szCs w:val="32"/>
          <w:lang w:eastAsia="zh-Hans"/>
        </w:rPr>
        <w:t>。</w:t>
      </w:r>
      <w:r>
        <w:rPr>
          <w:rFonts w:hint="eastAsia" w:ascii="Times New Roman" w:hAnsi="Times New Roman" w:eastAsia="仿宋"/>
          <w:color w:val="auto"/>
          <w:sz w:val="32"/>
          <w:szCs w:val="32"/>
        </w:rPr>
        <w:t>健全知识产权行政刑事保护衔接协调机制，加强检察机关法律监督，严格缓刑适用条件。加大知识产权行政执法力度。强化关键领域、重点环节、重点群体知识产权行政执法专项行动。加大文化市场知识产权执法力度，重点推进网络表演、网络音乐、网络文创市场的规范整治，严肃查处侵权盗版和进出口侵权假冒行为。完善地理标志、特殊标志和官方标志保护体系，</w:t>
      </w:r>
      <w:r>
        <w:rPr>
          <w:rFonts w:ascii="Times New Roman" w:hAnsi="Times New Roman" w:eastAsia="仿宋"/>
          <w:color w:val="auto"/>
          <w:sz w:val="32"/>
          <w:szCs w:val="32"/>
        </w:rPr>
        <w:t>加强</w:t>
      </w:r>
      <w:r>
        <w:rPr>
          <w:rFonts w:hint="eastAsia" w:ascii="Times New Roman" w:hAnsi="Times New Roman" w:eastAsia="仿宋"/>
          <w:color w:val="auto"/>
          <w:sz w:val="32"/>
          <w:szCs w:val="32"/>
        </w:rPr>
        <w:t>对</w:t>
      </w:r>
      <w:r>
        <w:rPr>
          <w:rFonts w:ascii="Times New Roman" w:hAnsi="Times New Roman" w:eastAsia="仿宋"/>
          <w:color w:val="auto"/>
          <w:sz w:val="32"/>
          <w:szCs w:val="32"/>
        </w:rPr>
        <w:t>以</w:t>
      </w:r>
      <w:r>
        <w:rPr>
          <w:rFonts w:hint="eastAsia" w:ascii="Times New Roman" w:hAnsi="Times New Roman" w:eastAsia="仿宋"/>
          <w:color w:val="auto"/>
          <w:sz w:val="32"/>
          <w:szCs w:val="32"/>
        </w:rPr>
        <w:t>“</w:t>
      </w:r>
      <w:r>
        <w:rPr>
          <w:rFonts w:ascii="Times New Roman" w:hAnsi="Times New Roman" w:eastAsia="仿宋"/>
          <w:color w:val="auto"/>
          <w:sz w:val="32"/>
          <w:szCs w:val="32"/>
        </w:rPr>
        <w:t>丽水山耕</w:t>
      </w:r>
      <w:r>
        <w:rPr>
          <w:rFonts w:hint="eastAsia" w:ascii="Times New Roman" w:hAnsi="Times New Roman" w:eastAsia="仿宋"/>
          <w:color w:val="auto"/>
          <w:sz w:val="32"/>
          <w:szCs w:val="32"/>
        </w:rPr>
        <w:t>”</w:t>
      </w:r>
      <w:r>
        <w:rPr>
          <w:rFonts w:ascii="Times New Roman" w:hAnsi="Times New Roman" w:eastAsia="仿宋"/>
          <w:color w:val="auto"/>
          <w:sz w:val="32"/>
          <w:szCs w:val="32"/>
        </w:rPr>
        <w:t>为代表的区域公共品牌的维权支持力度</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eastAsia="zh-Hans"/>
        </w:rPr>
        <w:t>开展种业监管执法，以制售假劣、无证生产经营种子（种畜禽）、非法生产经营转基因种子等为重点，开展集中清理整治。</w:t>
      </w:r>
    </w:p>
    <w:p>
      <w:pPr>
        <w:pStyle w:val="4"/>
        <w:widowControl/>
        <w:spacing w:before="0" w:after="0" w:line="580" w:lineRule="exact"/>
        <w:ind w:firstLine="643" w:firstLineChars="200"/>
        <w:rPr>
          <w:rFonts w:ascii="Times New Roman" w:hAnsi="Times New Roman" w:eastAsia="楷体"/>
          <w:color w:val="auto"/>
        </w:rPr>
      </w:pPr>
      <w:bookmarkStart w:id="44" w:name="_Toc80863167"/>
      <w:bookmarkStart w:id="45" w:name="_Toc19307"/>
      <w:r>
        <w:rPr>
          <w:rFonts w:hint="eastAsia" w:ascii="Times New Roman" w:hAnsi="Times New Roman" w:eastAsia="楷体"/>
          <w:color w:val="auto"/>
        </w:rPr>
        <w:t>（二）构建知识产权“大保护”工作格局</w:t>
      </w:r>
      <w:bookmarkEnd w:id="44"/>
      <w:bookmarkEnd w:id="45"/>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完善知识产权审判联动。争取在丽水设立知识产权法庭巡回审判庭，进一步推进丽水中院在创新活跃、知识产权保护需求强烈的地区设立知识产权巡回审判点</w:t>
      </w:r>
      <w:r>
        <w:rPr>
          <w:rFonts w:hint="eastAsia" w:ascii="Times New Roman" w:hAnsi="Times New Roman" w:eastAsia="仿宋" w:cs="仿宋_GB2312"/>
          <w:color w:val="auto"/>
          <w:sz w:val="32"/>
          <w:szCs w:val="32"/>
        </w:rPr>
        <w:t>，</w:t>
      </w:r>
      <w:r>
        <w:rPr>
          <w:rFonts w:hint="eastAsia" w:ascii="Times New Roman" w:hAnsi="Times New Roman" w:eastAsia="仿宋"/>
          <w:color w:val="auto"/>
          <w:sz w:val="32"/>
          <w:szCs w:val="32"/>
        </w:rPr>
        <w:t>加强</w:t>
      </w:r>
      <w:r>
        <w:rPr>
          <w:rFonts w:ascii="Times New Roman" w:hAnsi="Times New Roman" w:eastAsia="仿宋"/>
          <w:color w:val="auto"/>
          <w:sz w:val="32"/>
          <w:szCs w:val="32"/>
        </w:rPr>
        <w:t>丽水市各</w:t>
      </w:r>
      <w:r>
        <w:rPr>
          <w:rFonts w:hint="eastAsia" w:ascii="Times New Roman" w:hAnsi="Times New Roman" w:eastAsia="仿宋"/>
          <w:color w:val="auto"/>
          <w:sz w:val="32"/>
          <w:szCs w:val="32"/>
        </w:rPr>
        <w:t>知识产权</w:t>
      </w:r>
      <w:r>
        <w:rPr>
          <w:rFonts w:ascii="Times New Roman" w:hAnsi="Times New Roman" w:eastAsia="仿宋"/>
          <w:color w:val="auto"/>
          <w:sz w:val="32"/>
          <w:szCs w:val="32"/>
        </w:rPr>
        <w:t>巡回审判点和知识产权特邀调解庭</w:t>
      </w:r>
      <w:r>
        <w:rPr>
          <w:rFonts w:hint="eastAsia" w:ascii="Times New Roman" w:hAnsi="Times New Roman" w:eastAsia="仿宋"/>
          <w:color w:val="auto"/>
          <w:sz w:val="32"/>
          <w:szCs w:val="32"/>
        </w:rPr>
        <w:t>的建设</w:t>
      </w:r>
      <w:r>
        <w:rPr>
          <w:rFonts w:ascii="Times New Roman" w:hAnsi="Times New Roman" w:eastAsia="仿宋"/>
          <w:color w:val="auto"/>
          <w:sz w:val="32"/>
          <w:szCs w:val="32"/>
        </w:rPr>
        <w:t>，</w:t>
      </w:r>
      <w:r>
        <w:rPr>
          <w:rFonts w:hint="eastAsia" w:ascii="Times New Roman" w:hAnsi="Times New Roman" w:eastAsia="仿宋" w:cs="仿宋_GB2312"/>
          <w:color w:val="auto"/>
          <w:sz w:val="32"/>
          <w:szCs w:val="32"/>
        </w:rPr>
        <w:t>提供快速便捷的司法保障</w:t>
      </w:r>
      <w:r>
        <w:rPr>
          <w:rFonts w:hint="eastAsia" w:ascii="Times New Roman" w:hAnsi="Times New Roman" w:eastAsia="仿宋" w:cs="仿宋_GB2312"/>
          <w:bCs/>
          <w:color w:val="auto"/>
          <w:sz w:val="32"/>
          <w:szCs w:val="32"/>
        </w:rPr>
        <w:t>。深化实施知识产权民事、刑事、行政案件“三合一”审判，完善跨区域审判协作机制。</w:t>
      </w:r>
      <w:r>
        <w:rPr>
          <w:rFonts w:hint="eastAsia" w:ascii="Times New Roman" w:hAnsi="Times New Roman" w:eastAsia="仿宋"/>
          <w:color w:val="auto"/>
          <w:sz w:val="32"/>
          <w:szCs w:val="32"/>
        </w:rPr>
        <w:t>建立健全知识产权志愿者制度、专业型人民陪审员制度、知识产权纠纷特邀调解员制度和审判技术专家制度，加大专业型知识产权陪审员的培育力度。强化知识产权协同执法。全面落实“双随机、一公开”制度，强化专利、商标、商业秘密、地理标志等领域联合执法，加强驰名商标、中医药、老字号、植物新品种保护。</w:t>
      </w:r>
      <w:r>
        <w:rPr>
          <w:rFonts w:hint="eastAsia" w:ascii="Times New Roman" w:hAnsi="Times New Roman" w:eastAsia="仿宋" w:cs="仿宋_GB2312"/>
          <w:bCs/>
          <w:color w:val="auto"/>
          <w:sz w:val="32"/>
          <w:szCs w:val="32"/>
        </w:rPr>
        <w:t>依托国家和省级资源，推进丽水知识产权侵权纠纷检验鉴定技术支撑体系建设。</w:t>
      </w:r>
      <w:r>
        <w:rPr>
          <w:rFonts w:hint="eastAsia" w:ascii="Times New Roman" w:hAnsi="Times New Roman" w:eastAsia="仿宋"/>
          <w:color w:val="auto"/>
          <w:sz w:val="32"/>
          <w:szCs w:val="32"/>
        </w:rPr>
        <w:t>加强行政执法和司法保护队伍建设，进一步完善丽水知识产权侵权判定专家库。构建知识产权纠纷多元化解决机制。</w:t>
      </w:r>
      <w:r>
        <w:rPr>
          <w:rFonts w:hint="eastAsia" w:ascii="Times New Roman" w:hAnsi="Times New Roman" w:eastAsia="仿宋"/>
          <w:color w:val="auto"/>
          <w:sz w:val="32"/>
          <w:szCs w:val="32"/>
          <w:lang w:eastAsia="zh-Hans"/>
        </w:rPr>
        <w:t>优化知识产权侵权纠纷司法保护和行政保护对接机制，强化行政裁决和调解在解决知识产权纠纷中的作用和地位。</w:t>
      </w:r>
      <w:r>
        <w:rPr>
          <w:rFonts w:hint="eastAsia" w:ascii="Times New Roman" w:hAnsi="Times New Roman" w:eastAsia="仿宋"/>
          <w:color w:val="auto"/>
          <w:sz w:val="32"/>
          <w:szCs w:val="32"/>
        </w:rPr>
        <w:t>进一步健全知识产权诉调对接机制，充分发挥地方社会矛盾纠纷调处化解中心作用，提升调解协议司法确认便利度。</w:t>
      </w:r>
      <w:r>
        <w:rPr>
          <w:rFonts w:ascii="Times New Roman" w:hAnsi="Times New Roman" w:eastAsia="仿宋"/>
          <w:color w:val="auto"/>
          <w:sz w:val="32"/>
          <w:szCs w:val="32"/>
        </w:rPr>
        <w:t>继续推动知识产权维权援助中心以及丽水市知识产权纠纷调解中心的工作开展。</w:t>
      </w:r>
    </w:p>
    <w:p>
      <w:pPr>
        <w:pStyle w:val="4"/>
        <w:widowControl/>
        <w:spacing w:before="0" w:after="0" w:line="580" w:lineRule="exact"/>
        <w:ind w:firstLine="643" w:firstLineChars="200"/>
        <w:rPr>
          <w:rFonts w:ascii="Times New Roman" w:hAnsi="Times New Roman" w:eastAsia="楷体"/>
          <w:color w:val="auto"/>
        </w:rPr>
      </w:pPr>
      <w:bookmarkStart w:id="46" w:name="_Toc80863168"/>
      <w:bookmarkStart w:id="47" w:name="_Toc6916"/>
      <w:r>
        <w:rPr>
          <w:rFonts w:hint="eastAsia" w:ascii="Times New Roman" w:hAnsi="Times New Roman" w:eastAsia="楷体"/>
          <w:color w:val="auto"/>
        </w:rPr>
        <w:t>（三）实施知识产权“快保护”关键举措</w:t>
      </w:r>
      <w:bookmarkEnd w:id="46"/>
      <w:bookmarkEnd w:id="47"/>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s="仿宋_GB2312"/>
          <w:bCs/>
          <w:color w:val="auto"/>
          <w:sz w:val="32"/>
          <w:szCs w:val="32"/>
        </w:rPr>
        <w:t>完善案件处理程序，提高审判质效。</w:t>
      </w:r>
      <w:r>
        <w:rPr>
          <w:rFonts w:ascii="Times New Roman" w:hAnsi="Times New Roman" w:eastAsia="仿宋" w:cs="仿宋_GB2312"/>
          <w:bCs/>
          <w:color w:val="auto"/>
          <w:sz w:val="32"/>
          <w:szCs w:val="32"/>
        </w:rPr>
        <w:t>推进知识产权民事诉讼程序繁简分流改革</w:t>
      </w:r>
      <w:r>
        <w:rPr>
          <w:rFonts w:hint="eastAsia" w:ascii="Times New Roman" w:hAnsi="Times New Roman" w:eastAsia="仿宋" w:cs="仿宋_GB2312"/>
          <w:bCs/>
          <w:color w:val="auto"/>
          <w:sz w:val="32"/>
          <w:szCs w:val="32"/>
        </w:rPr>
        <w:t>，实现简案快审、繁案精审，进一步缩短办案期限，提高审判质效。完善知识产权案件质量评查、类案强制检索、疑难问题解答机制，统一裁判标准。明确电子证据的审查认定标准，依法灵活运用举证责任分配及转移、举证妨碍推定、文书提供命令等证据规则，合理降低权利人举证难度。有效发挥诉讼保全、公证保全的制度功能，依法加大依职权调查取证的力度，实施律师调查令制度，依法制裁不予配合调查取证的违法行为。加强快速维权中心建设，提供知识产权保护“一站式”服务。加快推进中国（木玩）知识产权快速维权援助中心建设</w:t>
      </w:r>
      <w:r>
        <w:rPr>
          <w:rFonts w:hint="eastAsia" w:ascii="Times New Roman" w:hAnsi="Times New Roman" w:eastAsia="仿宋"/>
          <w:color w:val="auto"/>
          <w:sz w:val="32"/>
          <w:szCs w:val="32"/>
        </w:rPr>
        <w:t>，推动各县（市、区）建设浙江省知识产权维权援助中心。</w:t>
      </w:r>
      <w:r>
        <w:rPr>
          <w:rFonts w:hint="eastAsia" w:ascii="Times New Roman" w:hAnsi="Times New Roman" w:eastAsia="仿宋" w:cs="仿宋_GB2312"/>
          <w:bCs/>
          <w:color w:val="auto"/>
          <w:sz w:val="32"/>
          <w:szCs w:val="32"/>
        </w:rPr>
        <w:t>争创中国（丽水）知识产权保护中心，构建“一体化、多层级、全覆盖”的知识产权整体维权网络体系，打造县域知识产权保护丽水经验。</w:t>
      </w:r>
    </w:p>
    <w:p>
      <w:pPr>
        <w:pStyle w:val="4"/>
        <w:widowControl/>
        <w:spacing w:before="0" w:after="0" w:line="580" w:lineRule="exact"/>
        <w:ind w:firstLine="643" w:firstLineChars="200"/>
        <w:rPr>
          <w:rFonts w:ascii="Times New Roman" w:hAnsi="Times New Roman" w:eastAsia="楷体"/>
          <w:color w:val="auto"/>
        </w:rPr>
      </w:pPr>
      <w:bookmarkStart w:id="48" w:name="_Toc22035"/>
      <w:bookmarkStart w:id="49" w:name="_Toc80863169"/>
      <w:r>
        <w:rPr>
          <w:rFonts w:hint="eastAsia" w:ascii="Times New Roman" w:hAnsi="Times New Roman" w:eastAsia="楷体"/>
          <w:color w:val="auto"/>
        </w:rPr>
        <w:t>（四）营造知识产权“同保护”优越环境</w:t>
      </w:r>
      <w:bookmarkEnd w:id="48"/>
      <w:bookmarkEnd w:id="49"/>
    </w:p>
    <w:p>
      <w:pPr>
        <w:pStyle w:val="23"/>
        <w:widowControl/>
        <w:ind w:firstLine="640"/>
        <w:rPr>
          <w:rFonts w:eastAsia="仿宋"/>
          <w:color w:val="auto"/>
        </w:rPr>
      </w:pPr>
      <w:r>
        <w:rPr>
          <w:rFonts w:hint="eastAsia" w:eastAsia="仿宋"/>
          <w:color w:val="auto"/>
        </w:rPr>
        <w:t xml:space="preserve">建立知识产权涉外风险防控体系。完善企业海外知识产权纠纷应对指导与援助机制，建立知识产权海外风险预警制度，推动设立海外知识产权诉讼援助机制和诉讼费用保险。加强中国（丽水）跨境电子商务综合试验区知识产权保护，坚持依法平等保护中外知识产权权利人的合法权益。强化知识产权对外安全监管。加强知识产权对外许可转让管理，规范涉及核心知识产权的企业并购行为，对引进的高新技术实施知识产权风险评估。推进国际知识产权交流合作。加强世界丽水人大会、世界华侨进口商品博览会、世界剑瓷大会、国际茶商大会、国际木玩节、青田石雕文化节、庆元香菇文化节等重大节会的知识产权保护，并借力推进国际知识产权交流合作。 </w:t>
      </w:r>
    </w:p>
    <w:p>
      <w:pPr>
        <w:pStyle w:val="4"/>
        <w:widowControl/>
        <w:spacing w:before="0" w:after="0" w:line="580" w:lineRule="exact"/>
        <w:ind w:firstLine="643" w:firstLineChars="200"/>
        <w:rPr>
          <w:rFonts w:ascii="Times New Roman" w:hAnsi="Times New Roman" w:eastAsia="楷体"/>
          <w:color w:val="auto"/>
        </w:rPr>
      </w:pPr>
      <w:bookmarkStart w:id="50" w:name="_Toc4611"/>
      <w:bookmarkStart w:id="51" w:name="_Toc80863170"/>
      <w:r>
        <w:rPr>
          <w:rFonts w:hint="eastAsia" w:ascii="Times New Roman" w:hAnsi="Times New Roman" w:eastAsia="楷体"/>
          <w:color w:val="auto"/>
        </w:rPr>
        <w:t>（五）夯实知识产权“智保护”技术支撑</w:t>
      </w:r>
      <w:bookmarkEnd w:id="50"/>
      <w:bookmarkEnd w:id="51"/>
    </w:p>
    <w:p>
      <w:pPr>
        <w:pStyle w:val="23"/>
        <w:widowControl/>
        <w:ind w:firstLine="640"/>
        <w:rPr>
          <w:rFonts w:eastAsia="仿宋"/>
          <w:color w:val="auto"/>
        </w:rPr>
      </w:pPr>
      <w:r>
        <w:rPr>
          <w:rFonts w:hint="eastAsia" w:eastAsia="仿宋"/>
          <w:color w:val="auto"/>
        </w:rPr>
        <w:t>加强知识产权智慧法庭建设。加快推进知识产权审判体系和审判能力现代化，重点支持运用云计算、大数据、物联网、人工智能等数字技术实现新型智慧化数字化审理，推动知识产权司法大数据实现数据共享和深度应用。完善涉网知识产权类案件新型诉讼规则，全面提升电子诉讼的应用和服务水平。推广“互联网</w:t>
      </w:r>
      <w:r>
        <w:rPr>
          <w:rFonts w:eastAsia="仿宋"/>
          <w:color w:val="auto"/>
        </w:rPr>
        <w:t>+</w:t>
      </w:r>
      <w:r>
        <w:rPr>
          <w:rFonts w:hint="eastAsia" w:eastAsia="仿宋"/>
          <w:color w:val="auto"/>
        </w:rPr>
        <w:t>”知识产权执法维权系统。健全侵权假冒线索智能发现机制，通过大数据、人工智能、区块链等技术手段，建立数据跑路、电子存证、云上合议等一体化数字流程，探索创新网上网下一体化查处打击模式。明确行政执法过程中的商标、专利侵权判定标准，完善数据化打假情报导侦工作机制。</w:t>
      </w:r>
    </w:p>
    <w:p>
      <w:pPr>
        <w:pStyle w:val="3"/>
        <w:widowControl/>
        <w:spacing w:before="0" w:after="0" w:line="580" w:lineRule="exact"/>
        <w:ind w:firstLine="640" w:firstLineChars="200"/>
        <w:rPr>
          <w:rFonts w:ascii="Times New Roman" w:hAnsi="Times New Roman" w:eastAsia="黑体"/>
          <w:b w:val="0"/>
          <w:bCs w:val="0"/>
          <w:color w:val="auto"/>
          <w:sz w:val="32"/>
          <w:szCs w:val="32"/>
        </w:rPr>
      </w:pPr>
      <w:bookmarkStart w:id="52" w:name="_Toc5831"/>
      <w:bookmarkStart w:id="53" w:name="_Toc80863171"/>
      <w:r>
        <w:rPr>
          <w:rFonts w:hint="eastAsia" w:ascii="Times New Roman" w:hAnsi="Times New Roman" w:eastAsia="黑体"/>
          <w:b w:val="0"/>
          <w:bCs w:val="0"/>
          <w:color w:val="auto"/>
          <w:sz w:val="32"/>
          <w:szCs w:val="32"/>
        </w:rPr>
        <w:t>六、数智赋能，打造知识产权“新基建”</w:t>
      </w:r>
      <w:bookmarkEnd w:id="52"/>
      <w:bookmarkEnd w:id="53"/>
    </w:p>
    <w:p>
      <w:pPr>
        <w:pStyle w:val="4"/>
        <w:widowControl/>
        <w:spacing w:before="0" w:after="0" w:line="580" w:lineRule="exact"/>
        <w:ind w:firstLine="643" w:firstLineChars="200"/>
        <w:rPr>
          <w:rFonts w:ascii="Times New Roman" w:hAnsi="Times New Roman" w:eastAsia="楷体"/>
          <w:color w:val="auto"/>
        </w:rPr>
      </w:pPr>
      <w:bookmarkStart w:id="54" w:name="_Toc80863172"/>
      <w:bookmarkStart w:id="55" w:name="_Toc7925"/>
      <w:r>
        <w:rPr>
          <w:rFonts w:hint="eastAsia" w:ascii="Times New Roman" w:hAnsi="Times New Roman" w:eastAsia="楷体"/>
          <w:color w:val="auto"/>
        </w:rPr>
        <w:t>（一）建立知识产权数据服务体系</w:t>
      </w:r>
      <w:bookmarkEnd w:id="54"/>
      <w:bookmarkEnd w:id="55"/>
    </w:p>
    <w:p>
      <w:pPr>
        <w:pStyle w:val="23"/>
        <w:widowControl/>
        <w:ind w:firstLine="640"/>
        <w:rPr>
          <w:rFonts w:eastAsia="仿宋"/>
          <w:color w:val="auto"/>
        </w:rPr>
      </w:pPr>
      <w:r>
        <w:rPr>
          <w:rFonts w:hint="eastAsia" w:eastAsia="仿宋"/>
          <w:color w:val="auto"/>
        </w:rPr>
        <w:t>完善知识产权数据公共服务平台。关联各类知识产权、人才、市场主体、产业数据，建设知识产权大数据库。精确分析定位丽水区域产业优势，科学布局高价值知识产权培育、知识产权运营、专利开放许可等平台，精准匹配知识产权资源。建立丽水特色知识产权数据库。应用信息化手段采集信息，对我市各类知识产权资源、资产进行分级分类管理，搭建丽水知识产权数字驾驶舱，打造知识产权综合智慧大脑。建设丽水市特色产业知识产权大数据联盟，引导我</w:t>
      </w:r>
      <w:r>
        <w:rPr>
          <w:rFonts w:eastAsia="仿宋"/>
          <w:color w:val="auto"/>
        </w:rPr>
        <w:t>市</w:t>
      </w:r>
      <w:r>
        <w:rPr>
          <w:rFonts w:hint="eastAsia" w:eastAsia="仿宋"/>
          <w:color w:val="auto"/>
        </w:rPr>
        <w:t>高校院所、龙头企业、服务机构共同参与建设，共享信息成果。加强知识产权大数据利用。完善丽水重点产业知识产权信息利用分析机制，建设半导体全链条、精密制造、健康医药、时尚产业、数字经济等重点产业知识产权专题数据库。</w:t>
      </w:r>
    </w:p>
    <w:tbl>
      <w:tblPr>
        <w:tblStyle w:val="1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spacing w:after="50" w:line="360" w:lineRule="auto"/>
              <w:jc w:val="center"/>
              <w:rPr>
                <w:rFonts w:ascii="Times New Roman" w:hAnsi="Times New Roman" w:cs="Times New Roman"/>
                <w:b/>
                <w:color w:val="auto"/>
                <w:sz w:val="28"/>
                <w:szCs w:val="28"/>
              </w:rPr>
            </w:pPr>
            <w:r>
              <w:rPr>
                <w:rFonts w:hint="eastAsia" w:eastAsia="仿宋_GB2312"/>
                <w:b/>
                <w:bCs/>
                <w:color w:val="auto"/>
                <w:sz w:val="28"/>
                <w:szCs w:val="28"/>
                <w:lang w:eastAsia="zh-Hans"/>
              </w:rPr>
              <w:t>专栏</w:t>
            </w:r>
            <w:r>
              <w:rPr>
                <w:rFonts w:ascii="Times New Roman" w:hAnsi="Times New Roman" w:eastAsia="仿宋_GB2312" w:cs="Times New Roman"/>
                <w:b/>
                <w:bCs/>
                <w:color w:val="auto"/>
                <w:sz w:val="28"/>
                <w:szCs w:val="28"/>
                <w:lang w:eastAsia="zh-Hans"/>
              </w:rPr>
              <w:t>9</w:t>
            </w:r>
            <w:r>
              <w:rPr>
                <w:rFonts w:hint="eastAsia" w:eastAsia="仿宋_GB2312"/>
                <w:b/>
                <w:bCs/>
                <w:color w:val="auto"/>
                <w:sz w:val="28"/>
                <w:szCs w:val="28"/>
                <w:lang w:eastAsia="zh-Hans"/>
              </w:rPr>
              <w:t>：数字丽水知识产权驾驶舱建设工程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tcPr>
          <w:p>
            <w:pPr>
              <w:pStyle w:val="27"/>
              <w:widowControl/>
              <w:spacing w:line="336" w:lineRule="auto"/>
              <w:ind w:firstLine="560"/>
              <w:rPr>
                <w:color w:val="auto"/>
                <w:sz w:val="28"/>
                <w:szCs w:val="28"/>
                <w:lang w:eastAsia="zh-Hans"/>
              </w:rPr>
            </w:pPr>
            <w:r>
              <w:rPr>
                <w:rFonts w:hint="eastAsia"/>
                <w:color w:val="auto"/>
                <w:sz w:val="28"/>
                <w:szCs w:val="28"/>
                <w:lang w:eastAsia="zh-Hans"/>
              </w:rPr>
              <w:t>——加强知识产权信息开发利用，加快建立以产业数据、知识产权数据为基础的新兴产业知识产权赋能机制。大力推进跨部门、跨层级、跨领域知识产权信息互联互通，加快构建多源数据采集体系，鼓励企业、行业协会、社会组织等开放自有知识产权数据资源，强化知识产权信息归集、共享和使用。全面提升知识产权数字化监管水平，深入贯彻实施以信用为基础的分级分类监管，完善知识产权信用联合奖惩体系。</w:t>
            </w:r>
          </w:p>
          <w:p>
            <w:pPr>
              <w:pStyle w:val="27"/>
              <w:widowControl/>
              <w:spacing w:line="336" w:lineRule="auto"/>
              <w:ind w:firstLine="560"/>
              <w:rPr>
                <w:rFonts w:cs="Times New Roman"/>
                <w:color w:val="auto"/>
                <w:sz w:val="28"/>
                <w:szCs w:val="28"/>
              </w:rPr>
            </w:pPr>
            <w:r>
              <w:rPr>
                <w:rFonts w:hint="eastAsia"/>
                <w:color w:val="auto"/>
                <w:sz w:val="28"/>
                <w:szCs w:val="28"/>
                <w:lang w:eastAsia="zh-Hans"/>
              </w:rPr>
              <w:t>——加大知识产权数据资源开发利用，围绕知识产权行政管理、重点产业专利导航、重点领域知识产权预警分析、知识产权海外保护等重点场景，推动知识产权数据融合利用，拓展知识产权数据场景化多业务协同应用。加强知识产权数据公共服务政府采购力度，提升数据公益服务和监测分析利用水平。开放特色产业、领域专利专题数据库，协助企业建设个性化专题知识产权数据库。到</w:t>
            </w:r>
            <w:r>
              <w:rPr>
                <w:color w:val="auto"/>
                <w:sz w:val="28"/>
                <w:szCs w:val="28"/>
                <w:lang w:eastAsia="zh-Hans"/>
              </w:rPr>
              <w:t>2025年，开放不少于5个产业、领域专利专题数据库，建有个性化专题知识产权数据库的企业达到200家以上，知识产权创造、运用、保护、管理、服务数据全面集成打通。</w:t>
            </w:r>
          </w:p>
        </w:tc>
      </w:tr>
    </w:tbl>
    <w:p>
      <w:pPr>
        <w:pStyle w:val="4"/>
        <w:widowControl/>
        <w:spacing w:before="0" w:after="0" w:line="580" w:lineRule="exact"/>
        <w:ind w:firstLine="643" w:firstLineChars="200"/>
        <w:rPr>
          <w:rFonts w:ascii="Times New Roman" w:hAnsi="Times New Roman" w:eastAsia="楷体"/>
          <w:color w:val="auto"/>
        </w:rPr>
      </w:pPr>
      <w:bookmarkStart w:id="56" w:name="_Toc80863173"/>
      <w:bookmarkStart w:id="57" w:name="_Toc17007"/>
      <w:r>
        <w:rPr>
          <w:rFonts w:hint="eastAsia" w:ascii="Times New Roman" w:hAnsi="Times New Roman" w:eastAsia="楷体"/>
          <w:color w:val="auto"/>
        </w:rPr>
        <w:t>（二）优化知识产权人才系统工程</w:t>
      </w:r>
      <w:bookmarkEnd w:id="56"/>
      <w:bookmarkEnd w:id="57"/>
      <w:r>
        <w:rPr>
          <w:rFonts w:ascii="Times New Roman" w:hAnsi="Times New Roman" w:eastAsia="楷体"/>
          <w:color w:val="auto"/>
        </w:rPr>
        <w:tab/>
      </w:r>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建立健全知识产权人才政策。</w:t>
      </w:r>
      <w:r>
        <w:rPr>
          <w:rFonts w:hint="eastAsia" w:ascii="Times New Roman" w:hAnsi="Times New Roman" w:eastAsia="仿宋"/>
          <w:color w:val="auto"/>
          <w:sz w:val="32"/>
          <w:szCs w:val="32"/>
          <w:lang w:eastAsia="zh-Hans"/>
        </w:rPr>
        <w:t>制定完善知识产权职业行为规范等相关政策。</w:t>
      </w:r>
      <w:r>
        <w:rPr>
          <w:rFonts w:hint="eastAsia" w:ascii="Times New Roman" w:hAnsi="Times New Roman" w:eastAsia="仿宋"/>
          <w:color w:val="auto"/>
          <w:sz w:val="32"/>
          <w:szCs w:val="32"/>
        </w:rPr>
        <w:t>推动将知识产权专业人才纳入高层次人才体系，</w:t>
      </w:r>
      <w:r>
        <w:rPr>
          <w:rFonts w:ascii="Times New Roman" w:hAnsi="Times New Roman" w:eastAsia="仿宋"/>
          <w:color w:val="auto"/>
          <w:sz w:val="32"/>
          <w:szCs w:val="32"/>
        </w:rPr>
        <w:t>将知识产权高层次人才纳入市委、市政府相关人才计划与人才引进项目</w:t>
      </w:r>
      <w:r>
        <w:rPr>
          <w:rFonts w:hint="eastAsia" w:ascii="Times New Roman" w:hAnsi="Times New Roman" w:eastAsia="仿宋"/>
          <w:color w:val="auto"/>
          <w:sz w:val="32"/>
          <w:szCs w:val="32"/>
        </w:rPr>
        <w:t>，加快知识产权管理、服务、研究、咨询等各类人才集聚。加强知识产权人才队伍建设。打造“两山”知识产权研究院，推进丽水知识产权人才（专家）库建设，加强与国家级知识产权人才库、长三角地区知识产权人才库的衔接。</w:t>
      </w:r>
      <w:r>
        <w:rPr>
          <w:rFonts w:ascii="Times New Roman" w:hAnsi="Times New Roman" w:eastAsia="仿宋"/>
          <w:color w:val="auto"/>
          <w:sz w:val="32"/>
          <w:szCs w:val="32"/>
        </w:rPr>
        <w:t>持续推进柔性人才</w:t>
      </w:r>
      <w:r>
        <w:rPr>
          <w:rFonts w:hint="eastAsia" w:ascii="Times New Roman" w:hAnsi="Times New Roman" w:eastAsia="仿宋"/>
          <w:color w:val="auto"/>
          <w:sz w:val="32"/>
          <w:szCs w:val="32"/>
        </w:rPr>
        <w:t>引进</w:t>
      </w:r>
      <w:r>
        <w:rPr>
          <w:rFonts w:ascii="Times New Roman" w:hAnsi="Times New Roman" w:eastAsia="仿宋"/>
          <w:color w:val="auto"/>
          <w:sz w:val="32"/>
          <w:szCs w:val="32"/>
        </w:rPr>
        <w:t>，鼓励相关专家兼职企业</w:t>
      </w:r>
      <w:r>
        <w:rPr>
          <w:rFonts w:hint="eastAsia" w:ascii="Times New Roman" w:hAnsi="Times New Roman" w:eastAsia="仿宋"/>
          <w:color w:val="auto"/>
          <w:sz w:val="32"/>
          <w:szCs w:val="32"/>
        </w:rPr>
        <w:t>知识产权</w:t>
      </w:r>
      <w:r>
        <w:rPr>
          <w:rFonts w:ascii="Times New Roman" w:hAnsi="Times New Roman" w:eastAsia="仿宋"/>
          <w:color w:val="auto"/>
          <w:sz w:val="32"/>
          <w:szCs w:val="32"/>
        </w:rPr>
        <w:t>顾问。以建设知识产权实践基地等方式，建立知识产权服务机构与高校人才供需对接机制，引导知识产权服务机构吸纳就业。</w:t>
      </w:r>
      <w:r>
        <w:rPr>
          <w:rFonts w:hint="eastAsia" w:ascii="Times New Roman" w:hAnsi="Times New Roman" w:eastAsia="仿宋"/>
          <w:color w:val="auto"/>
          <w:sz w:val="32"/>
          <w:szCs w:val="32"/>
        </w:rPr>
        <w:t>加强产教融合的知识产权人才培训。建立</w:t>
      </w:r>
      <w:r>
        <w:rPr>
          <w:rFonts w:hint="eastAsia" w:ascii="Times New Roman" w:hAnsi="Times New Roman" w:eastAsia="仿宋"/>
          <w:color w:val="auto"/>
          <w:sz w:val="32"/>
          <w:szCs w:val="32"/>
          <w:lang w:eastAsia="zh-Hans"/>
        </w:rPr>
        <w:t>与国家知识产权培训（浙江）基地的长效合作机制，</w:t>
      </w:r>
      <w:r>
        <w:rPr>
          <w:rFonts w:ascii="Times New Roman" w:hAnsi="Times New Roman" w:eastAsia="仿宋"/>
          <w:color w:val="auto"/>
          <w:sz w:val="32"/>
          <w:szCs w:val="32"/>
        </w:rPr>
        <w:t>加强</w:t>
      </w:r>
      <w:r>
        <w:rPr>
          <w:rFonts w:hint="eastAsia" w:ascii="Times New Roman" w:hAnsi="Times New Roman" w:eastAsia="仿宋"/>
          <w:color w:val="auto"/>
          <w:sz w:val="32"/>
          <w:szCs w:val="32"/>
        </w:rPr>
        <w:t>丽水</w:t>
      </w:r>
      <w:r>
        <w:rPr>
          <w:rFonts w:ascii="Times New Roman" w:hAnsi="Times New Roman" w:eastAsia="仿宋"/>
          <w:color w:val="auto"/>
          <w:sz w:val="32"/>
          <w:szCs w:val="32"/>
        </w:rPr>
        <w:t>知识产权培训基地建设，完善知识产权培训体系，支持园区、孵化器、众创空间、知识产权运营服务机构等主体开展知识产权实务培训，培养高素质实务人才，全面提高知识产权管理、运营、评估、评价、投融资等从业者水平。</w:t>
      </w:r>
      <w:r>
        <w:rPr>
          <w:rFonts w:hint="eastAsia" w:ascii="Times New Roman" w:hAnsi="Times New Roman" w:eastAsia="仿宋"/>
          <w:color w:val="auto"/>
          <w:sz w:val="32"/>
          <w:szCs w:val="32"/>
        </w:rPr>
        <w:t>更好发挥丽水学院等本地教育资源的作用，培养知识产权人才。</w:t>
      </w:r>
    </w:p>
    <w:p>
      <w:pPr>
        <w:pStyle w:val="4"/>
        <w:widowControl/>
        <w:spacing w:before="0" w:after="0" w:line="580" w:lineRule="exact"/>
        <w:ind w:firstLine="643" w:firstLineChars="200"/>
        <w:rPr>
          <w:rFonts w:ascii="Times New Roman" w:hAnsi="Times New Roman" w:eastAsia="楷体"/>
          <w:color w:val="auto"/>
        </w:rPr>
      </w:pPr>
      <w:bookmarkStart w:id="58" w:name="_Toc80863174"/>
      <w:bookmarkStart w:id="59" w:name="_Toc26017"/>
      <w:r>
        <w:rPr>
          <w:rFonts w:hint="eastAsia" w:ascii="Times New Roman" w:hAnsi="Times New Roman" w:eastAsia="楷体"/>
          <w:color w:val="auto"/>
        </w:rPr>
        <w:t>（三）健全知识产权信用监管体系</w:t>
      </w:r>
      <w:bookmarkEnd w:id="58"/>
      <w:bookmarkEnd w:id="59"/>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推进知识产权信用体系建设。建立健全知识产权信用体</w:t>
      </w:r>
      <w:r>
        <w:rPr>
          <w:rFonts w:ascii="Times New Roman" w:hAnsi="Times New Roman" w:eastAsia="仿宋"/>
          <w:color w:val="auto"/>
          <w:sz w:val="32"/>
          <w:szCs w:val="32"/>
        </w:rPr>
        <w:t>系建设协同机制，加快与</w:t>
      </w:r>
      <w:r>
        <w:rPr>
          <w:rFonts w:hint="eastAsia" w:ascii="Times New Roman" w:hAnsi="Times New Roman" w:eastAsia="仿宋"/>
          <w:color w:val="auto"/>
          <w:sz w:val="32"/>
          <w:szCs w:val="32"/>
        </w:rPr>
        <w:t>丽水</w:t>
      </w:r>
      <w:r>
        <w:rPr>
          <w:rFonts w:ascii="Times New Roman" w:hAnsi="Times New Roman" w:eastAsia="仿宋"/>
          <w:color w:val="auto"/>
          <w:sz w:val="32"/>
          <w:szCs w:val="32"/>
        </w:rPr>
        <w:t>市信用大数据平台对接，探索建立知识产权信用承诺、信用记录、分级监管、联合惩戒等制度，加快实现知识产权领域全方位征信、全数据入信、全社会用信。</w:t>
      </w:r>
      <w:r>
        <w:rPr>
          <w:rFonts w:hint="eastAsia" w:ascii="Times New Roman" w:hAnsi="Times New Roman" w:eastAsia="仿宋"/>
          <w:color w:val="auto"/>
          <w:sz w:val="32"/>
          <w:szCs w:val="32"/>
        </w:rPr>
        <w:t>强化知识产权信用风险监测和预警机制。建立</w:t>
      </w:r>
      <w:r>
        <w:rPr>
          <w:rFonts w:ascii="Times New Roman" w:hAnsi="Times New Roman" w:eastAsia="仿宋"/>
          <w:color w:val="auto"/>
          <w:sz w:val="32"/>
          <w:szCs w:val="32"/>
        </w:rPr>
        <w:t>知识产权领域的企业信用风险监测预警通用模型，实现对丽水市知识产权重点领域、重点主体、重点环节主要风险点的精准监测和精准监管</w:t>
      </w:r>
      <w:r>
        <w:rPr>
          <w:rFonts w:hint="eastAsia" w:ascii="Times New Roman" w:hAnsi="Times New Roman" w:eastAsia="仿宋"/>
          <w:color w:val="auto"/>
          <w:sz w:val="32"/>
          <w:szCs w:val="32"/>
        </w:rPr>
        <w:t>。建立多元化知识产权信用激励和惩戒体系。加强信用监管与“双随机、一公开”监管和行政执法有机结合，</w:t>
      </w:r>
      <w:r>
        <w:rPr>
          <w:rFonts w:ascii="Times New Roman" w:hAnsi="Times New Roman" w:eastAsia="仿宋"/>
          <w:color w:val="auto"/>
          <w:sz w:val="32"/>
          <w:szCs w:val="32"/>
        </w:rPr>
        <w:t>强化</w:t>
      </w:r>
      <w:r>
        <w:rPr>
          <w:rFonts w:hint="eastAsia" w:ascii="Times New Roman" w:hAnsi="Times New Roman" w:eastAsia="仿宋"/>
          <w:color w:val="auto"/>
          <w:sz w:val="32"/>
          <w:szCs w:val="32"/>
        </w:rPr>
        <w:t>知识产权</w:t>
      </w:r>
      <w:r>
        <w:rPr>
          <w:rFonts w:ascii="Times New Roman" w:hAnsi="Times New Roman" w:eastAsia="仿宋"/>
          <w:color w:val="auto"/>
          <w:sz w:val="32"/>
          <w:szCs w:val="32"/>
        </w:rPr>
        <w:t>信用激励惩戒</w:t>
      </w:r>
      <w:r>
        <w:rPr>
          <w:rFonts w:hint="eastAsia" w:ascii="Times New Roman" w:hAnsi="Times New Roman" w:eastAsia="仿宋"/>
          <w:color w:val="auto"/>
          <w:sz w:val="32"/>
          <w:szCs w:val="32"/>
        </w:rPr>
        <w:t>。</w:t>
      </w:r>
      <w:r>
        <w:rPr>
          <w:rFonts w:ascii="Times New Roman" w:hAnsi="Times New Roman" w:eastAsia="仿宋"/>
          <w:color w:val="auto"/>
          <w:sz w:val="32"/>
          <w:szCs w:val="32"/>
        </w:rPr>
        <w:t>依法依规修订联合奖惩备忘录，完善部门间</w:t>
      </w:r>
      <w:r>
        <w:rPr>
          <w:rFonts w:hint="eastAsia" w:ascii="Times New Roman" w:hAnsi="Times New Roman" w:eastAsia="仿宋"/>
          <w:color w:val="auto"/>
          <w:sz w:val="32"/>
          <w:szCs w:val="32"/>
        </w:rPr>
        <w:t>知识产权</w:t>
      </w:r>
      <w:r>
        <w:rPr>
          <w:rFonts w:ascii="Times New Roman" w:hAnsi="Times New Roman" w:eastAsia="仿宋"/>
          <w:color w:val="auto"/>
          <w:sz w:val="32"/>
          <w:szCs w:val="32"/>
        </w:rPr>
        <w:t>联合奖惩机制，在生产经营、工</w:t>
      </w:r>
      <w:r>
        <w:rPr>
          <w:rFonts w:hint="eastAsia" w:ascii="Times New Roman" w:hAnsi="Times New Roman" w:eastAsia="仿宋"/>
          <w:color w:val="auto"/>
          <w:sz w:val="32"/>
          <w:szCs w:val="32"/>
        </w:rPr>
        <w:t>程建设、市场监管、金融</w:t>
      </w:r>
      <w:r>
        <w:rPr>
          <w:rFonts w:ascii="Times New Roman" w:hAnsi="Times New Roman" w:eastAsia="仿宋"/>
          <w:color w:val="auto"/>
          <w:sz w:val="32"/>
          <w:szCs w:val="32"/>
        </w:rPr>
        <w:t>信贷、行业管理等多领域深入开展</w:t>
      </w:r>
      <w:r>
        <w:rPr>
          <w:rFonts w:hint="eastAsia" w:ascii="Times New Roman" w:hAnsi="Times New Roman" w:eastAsia="仿宋"/>
          <w:color w:val="auto"/>
          <w:sz w:val="32"/>
          <w:szCs w:val="32"/>
        </w:rPr>
        <w:t>知识产权</w:t>
      </w:r>
      <w:r>
        <w:rPr>
          <w:rFonts w:ascii="Times New Roman" w:hAnsi="Times New Roman" w:eastAsia="仿宋"/>
          <w:color w:val="auto"/>
          <w:sz w:val="32"/>
          <w:szCs w:val="32"/>
        </w:rPr>
        <w:t>信用激励和惩戒。</w:t>
      </w:r>
    </w:p>
    <w:p>
      <w:pPr>
        <w:pStyle w:val="4"/>
        <w:widowControl/>
        <w:spacing w:before="0" w:after="0" w:line="580" w:lineRule="exact"/>
        <w:ind w:firstLine="643" w:firstLineChars="200"/>
        <w:rPr>
          <w:rFonts w:ascii="Times New Roman" w:hAnsi="Times New Roman" w:eastAsia="楷体"/>
          <w:color w:val="auto"/>
        </w:rPr>
      </w:pPr>
      <w:bookmarkStart w:id="60" w:name="_Toc19989"/>
      <w:bookmarkStart w:id="61" w:name="_Toc80863175"/>
      <w:r>
        <w:rPr>
          <w:rFonts w:hint="eastAsia" w:ascii="Times New Roman" w:hAnsi="Times New Roman" w:eastAsia="楷体"/>
          <w:color w:val="auto"/>
        </w:rPr>
        <w:t>（四）完善知识产权标准支撑体系</w:t>
      </w:r>
      <w:bookmarkEnd w:id="60"/>
      <w:bookmarkEnd w:id="61"/>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推进知识产权地方标准建设。重点在知识产权公共服务、知识产权侵权判定、价值评估、地理标志保护与管理等关键环节和重点领域制订实施一批有丽水特色的市级地方标准。探索知识产权与标准有效融合的路径。探索丽水知识产权与技术标准有效融合的路径，支持我市企业将优势技术转化为国际、国家、行业标准，形成一批含有必要专利的标准，</w:t>
      </w:r>
      <w:r>
        <w:rPr>
          <w:rFonts w:ascii="Times New Roman" w:hAnsi="Times New Roman" w:eastAsia="仿宋"/>
          <w:color w:val="auto"/>
          <w:sz w:val="32"/>
          <w:szCs w:val="32"/>
        </w:rPr>
        <w:t>打通高价值专利布局、高效益成果转化、高层级标准制定全链条。聚焦</w:t>
      </w:r>
      <w:r>
        <w:rPr>
          <w:rFonts w:hint="eastAsia" w:ascii="Times New Roman" w:hAnsi="Times New Roman" w:eastAsia="仿宋"/>
          <w:color w:val="auto"/>
          <w:sz w:val="32"/>
          <w:szCs w:val="32"/>
        </w:rPr>
        <w:t>精密制造</w:t>
      </w:r>
      <w:r>
        <w:rPr>
          <w:rFonts w:ascii="Times New Roman" w:hAnsi="Times New Roman" w:eastAsia="仿宋"/>
          <w:color w:val="auto"/>
          <w:sz w:val="32"/>
          <w:szCs w:val="32"/>
        </w:rPr>
        <w:t>、</w:t>
      </w:r>
      <w:r>
        <w:rPr>
          <w:rFonts w:hint="eastAsia" w:ascii="Times New Roman" w:hAnsi="Times New Roman" w:eastAsia="仿宋"/>
          <w:color w:val="auto"/>
          <w:sz w:val="32"/>
          <w:szCs w:val="32"/>
        </w:rPr>
        <w:t>半导体</w:t>
      </w:r>
      <w:r>
        <w:rPr>
          <w:rFonts w:ascii="Times New Roman" w:hAnsi="Times New Roman" w:eastAsia="仿宋"/>
          <w:color w:val="auto"/>
          <w:sz w:val="32"/>
          <w:szCs w:val="32"/>
        </w:rPr>
        <w:t>等重点领域，鼓励企业建立技术研发、专利申报和标准制定同步推进机制，完善研发成果转化全链条体系。在</w:t>
      </w:r>
      <w:r>
        <w:rPr>
          <w:rFonts w:hint="eastAsia" w:ascii="Times New Roman" w:hAnsi="Times New Roman" w:eastAsia="仿宋"/>
          <w:color w:val="auto"/>
          <w:sz w:val="32"/>
          <w:szCs w:val="32"/>
          <w:lang w:eastAsia="zh-Hans"/>
        </w:rPr>
        <w:t>滚动功能部件、带锯床、汽车空调配件</w:t>
      </w:r>
      <w:r>
        <w:rPr>
          <w:rFonts w:ascii="Times New Roman" w:hAnsi="Times New Roman" w:eastAsia="仿宋"/>
          <w:color w:val="auto"/>
          <w:sz w:val="32"/>
          <w:szCs w:val="32"/>
        </w:rPr>
        <w:t>等特色产业领域选取优势企业建设专利与标准融合发展示范点，鼓励企业主导参与各类标准的制修订，</w:t>
      </w:r>
      <w:r>
        <w:rPr>
          <w:rFonts w:hint="eastAsia" w:ascii="Times New Roman" w:hAnsi="Times New Roman" w:eastAsia="仿宋"/>
          <w:color w:val="auto"/>
          <w:sz w:val="32"/>
          <w:szCs w:val="32"/>
        </w:rPr>
        <w:t>依法</w:t>
      </w:r>
      <w:r>
        <w:rPr>
          <w:rFonts w:ascii="Times New Roman" w:hAnsi="Times New Roman" w:eastAsia="仿宋"/>
          <w:color w:val="auto"/>
          <w:sz w:val="32"/>
          <w:szCs w:val="32"/>
        </w:rPr>
        <w:t>支持企业将</w:t>
      </w:r>
      <w:r>
        <w:rPr>
          <w:rFonts w:hint="eastAsia" w:ascii="Times New Roman" w:hAnsi="Times New Roman" w:eastAsia="仿宋"/>
          <w:color w:val="auto"/>
          <w:sz w:val="32"/>
          <w:szCs w:val="32"/>
        </w:rPr>
        <w:t>自主知识产权纳入相关</w:t>
      </w:r>
      <w:r>
        <w:rPr>
          <w:rFonts w:ascii="Times New Roman" w:hAnsi="Times New Roman" w:eastAsia="仿宋"/>
          <w:color w:val="auto"/>
          <w:sz w:val="32"/>
          <w:szCs w:val="32"/>
        </w:rPr>
        <w:t>标准。推进“品</w:t>
      </w:r>
      <w:r>
        <w:rPr>
          <w:rFonts w:hint="eastAsia" w:ascii="Times New Roman" w:hAnsi="Times New Roman" w:eastAsia="仿宋"/>
          <w:color w:val="auto"/>
          <w:sz w:val="32"/>
          <w:szCs w:val="32"/>
        </w:rPr>
        <w:t>字标”建设，培育一批</w:t>
      </w:r>
      <w:r>
        <w:rPr>
          <w:rFonts w:ascii="Times New Roman" w:hAnsi="Times New Roman" w:eastAsia="仿宋"/>
          <w:color w:val="auto"/>
          <w:sz w:val="32"/>
          <w:szCs w:val="32"/>
        </w:rPr>
        <w:t>优质团体标准和企业标准“领跑者”，提升“</w:t>
      </w:r>
      <w:r>
        <w:rPr>
          <w:rFonts w:hint="eastAsia" w:ascii="Times New Roman" w:hAnsi="Times New Roman" w:eastAsia="仿宋"/>
          <w:color w:val="auto"/>
          <w:sz w:val="32"/>
          <w:szCs w:val="32"/>
        </w:rPr>
        <w:t>丽水</w:t>
      </w:r>
      <w:r>
        <w:rPr>
          <w:rFonts w:ascii="Times New Roman" w:hAnsi="Times New Roman" w:eastAsia="仿宋"/>
          <w:color w:val="auto"/>
          <w:sz w:val="32"/>
          <w:szCs w:val="32"/>
        </w:rPr>
        <w:t>制造”效益。</w:t>
      </w:r>
    </w:p>
    <w:p>
      <w:pPr>
        <w:pStyle w:val="3"/>
        <w:widowControl/>
        <w:spacing w:before="0" w:after="0" w:line="580" w:lineRule="exact"/>
        <w:ind w:firstLine="640" w:firstLineChars="200"/>
        <w:rPr>
          <w:rFonts w:ascii="Times New Roman" w:hAnsi="Times New Roman" w:eastAsia="黑体"/>
          <w:b w:val="0"/>
          <w:bCs w:val="0"/>
          <w:color w:val="auto"/>
          <w:sz w:val="32"/>
          <w:szCs w:val="32"/>
        </w:rPr>
      </w:pPr>
      <w:bookmarkStart w:id="62" w:name="_Toc28107"/>
      <w:bookmarkStart w:id="63" w:name="_Toc80863176"/>
      <w:r>
        <w:rPr>
          <w:rFonts w:hint="eastAsia" w:ascii="Times New Roman" w:hAnsi="Times New Roman" w:eastAsia="黑体"/>
          <w:b w:val="0"/>
          <w:bCs w:val="0"/>
          <w:color w:val="auto"/>
          <w:sz w:val="32"/>
          <w:szCs w:val="32"/>
        </w:rPr>
        <w:t>七、保障措施</w:t>
      </w:r>
      <w:bookmarkEnd w:id="62"/>
      <w:bookmarkEnd w:id="63"/>
    </w:p>
    <w:p>
      <w:pPr>
        <w:pStyle w:val="4"/>
        <w:widowControl/>
        <w:spacing w:before="0" w:after="0" w:line="580" w:lineRule="exact"/>
        <w:ind w:firstLine="643" w:firstLineChars="200"/>
        <w:rPr>
          <w:rFonts w:ascii="Times New Roman" w:hAnsi="Times New Roman" w:eastAsia="楷体"/>
          <w:color w:val="auto"/>
        </w:rPr>
      </w:pPr>
      <w:bookmarkStart w:id="64" w:name="_Toc21988"/>
      <w:bookmarkStart w:id="65" w:name="_Toc80863177"/>
      <w:r>
        <w:rPr>
          <w:rFonts w:hint="eastAsia" w:ascii="Times New Roman" w:hAnsi="Times New Roman" w:eastAsia="楷体"/>
          <w:color w:val="auto"/>
        </w:rPr>
        <w:t>（一）强化组织领导</w:t>
      </w:r>
      <w:bookmarkEnd w:id="64"/>
      <w:bookmarkEnd w:id="65"/>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加强组织领导，坚持以市场为导向，全面深化知识产权改革，全链条加强知识产权保护力度，全方位提升知识产权质量水平，全产业提升知识产权运用效率，形成高效协作的知识产权工作统筹协调机制，将知识产权保护作为完善市场经济体制、营造最优营商环境的基础性、关键性工作，纳入丽水市高质量发展全过程。</w:t>
      </w:r>
    </w:p>
    <w:p>
      <w:pPr>
        <w:pStyle w:val="4"/>
        <w:widowControl/>
        <w:spacing w:before="0" w:after="0" w:line="580" w:lineRule="exact"/>
        <w:ind w:firstLine="643" w:firstLineChars="200"/>
        <w:rPr>
          <w:rFonts w:ascii="Times New Roman" w:hAnsi="Times New Roman" w:eastAsia="楷体"/>
          <w:color w:val="auto"/>
        </w:rPr>
      </w:pPr>
      <w:bookmarkStart w:id="66" w:name="_Toc80863178"/>
      <w:bookmarkStart w:id="67" w:name="_Toc4250"/>
      <w:r>
        <w:rPr>
          <w:rFonts w:hint="eastAsia" w:ascii="Times New Roman" w:hAnsi="Times New Roman" w:eastAsia="楷体"/>
          <w:color w:val="auto"/>
        </w:rPr>
        <w:t>（二）强化条件保障</w:t>
      </w:r>
      <w:bookmarkEnd w:id="66"/>
      <w:bookmarkEnd w:id="67"/>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加大财政支持力度，将必需的工作经费列入相关部门预算，由同级财政予以保障。提高财政资金使用绩效，引导知识产权高质量发展。强化知识产权、科技、经信、商务等部门间的政策配套协调，引导市场主体加大知识产权资金投入，逐步建立以政府投入为引导、金融信贷为支持、企业投入为主体的多渠道、多元化的资金投入体系。加强知识产权公共服务平台建设，加大政府购买知识产权公共服务力度。按照国家有关规定，做好对知识产权突出贡献集体和个人的激励工作。加强知识产权规划与产业规划、城市规划对接、融合。在市、县（市、区）、产业园区等不同层面，做好知识产权创造、运用、保护政策与现有科技、金融、税收、中小企业等政策衔接。加强知识产权公共服务机构和平台建设，探索推动知识产权纳入地方立法，形成促进知识产权事业发展的长效机制。</w:t>
      </w:r>
    </w:p>
    <w:p>
      <w:pPr>
        <w:pStyle w:val="4"/>
        <w:widowControl/>
        <w:spacing w:before="0" w:after="0" w:line="580" w:lineRule="exact"/>
        <w:ind w:firstLine="643" w:firstLineChars="200"/>
        <w:rPr>
          <w:rFonts w:ascii="Times New Roman" w:hAnsi="Times New Roman" w:eastAsia="楷体"/>
          <w:color w:val="auto"/>
        </w:rPr>
      </w:pPr>
      <w:bookmarkStart w:id="68" w:name="_Toc80863179"/>
      <w:bookmarkStart w:id="69" w:name="_Toc28006"/>
      <w:r>
        <w:rPr>
          <w:rFonts w:hint="eastAsia" w:ascii="Times New Roman" w:hAnsi="Times New Roman" w:eastAsia="楷体"/>
          <w:color w:val="auto"/>
        </w:rPr>
        <w:t>（三）强化普及教育</w:t>
      </w:r>
      <w:bookmarkEnd w:id="68"/>
      <w:bookmarkEnd w:id="69"/>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大力倡导知识产权文化，结合丽水特色，组织开展“</w:t>
      </w:r>
      <w:r>
        <w:rPr>
          <w:rFonts w:ascii="Times New Roman" w:hAnsi="Times New Roman" w:eastAsia="仿宋"/>
          <w:color w:val="auto"/>
          <w:sz w:val="32"/>
          <w:szCs w:val="32"/>
        </w:rPr>
        <w:t>4.26”知识产权宣传周、专利周、品牌日等活动，发布</w:t>
      </w:r>
      <w:r>
        <w:rPr>
          <w:rFonts w:hint="eastAsia" w:ascii="Times New Roman" w:hAnsi="Times New Roman" w:eastAsia="仿宋"/>
          <w:color w:val="auto"/>
          <w:sz w:val="32"/>
          <w:szCs w:val="32"/>
        </w:rPr>
        <w:t>丽水知识产权白皮书、</w:t>
      </w:r>
      <w:r>
        <w:rPr>
          <w:rFonts w:ascii="Times New Roman" w:hAnsi="Times New Roman" w:eastAsia="仿宋"/>
          <w:color w:val="auto"/>
          <w:sz w:val="32"/>
          <w:szCs w:val="32"/>
        </w:rPr>
        <w:t>商标品牌发展报告、知识产权典型案例，讲好丽水知识产权故事，引导企业合理积极维权。广泛开展知识产权普及教育，持续推进中小学知识产权教育工作，将知识产权相关内容融入地方科技创新教育。</w:t>
      </w:r>
    </w:p>
    <w:p>
      <w:pPr>
        <w:pStyle w:val="4"/>
        <w:widowControl/>
        <w:spacing w:before="0" w:after="0" w:line="580" w:lineRule="exact"/>
        <w:ind w:firstLine="643" w:firstLineChars="200"/>
        <w:rPr>
          <w:rFonts w:ascii="Times New Roman" w:hAnsi="Times New Roman" w:eastAsia="楷体"/>
          <w:color w:val="auto"/>
        </w:rPr>
      </w:pPr>
      <w:bookmarkStart w:id="70" w:name="_Toc15977"/>
      <w:bookmarkStart w:id="71" w:name="_Toc80863180"/>
      <w:r>
        <w:rPr>
          <w:rFonts w:hint="eastAsia" w:ascii="Times New Roman" w:hAnsi="Times New Roman" w:eastAsia="楷体"/>
          <w:color w:val="auto"/>
        </w:rPr>
        <w:t>（四）强化考核评估</w:t>
      </w:r>
      <w:bookmarkEnd w:id="70"/>
      <w:bookmarkEnd w:id="71"/>
    </w:p>
    <w:p>
      <w:pPr>
        <w:widowControl/>
        <w:spacing w:line="580" w:lineRule="exact"/>
        <w:ind w:firstLine="640" w:firstLineChars="200"/>
        <w:rPr>
          <w:rFonts w:ascii="Times New Roman" w:hAnsi="Times New Roman" w:eastAsia="仿宋"/>
          <w:color w:val="auto"/>
          <w:sz w:val="32"/>
          <w:szCs w:val="32"/>
        </w:rPr>
      </w:pPr>
      <w:r>
        <w:rPr>
          <w:rFonts w:hint="eastAsia" w:ascii="Times New Roman" w:hAnsi="Times New Roman" w:eastAsia="仿宋"/>
          <w:color w:val="auto"/>
          <w:sz w:val="32"/>
          <w:szCs w:val="32"/>
        </w:rPr>
        <w:t>研究建立知识产权保护考核评价和保护水平评估指标体系，将结果作为各级党政领导班子和领导干部综合绩效考核的重要参考。加强对纳入科技进步统计监测评价指标体系、浙江省高质量发展指标体系的各项知识产权指标的统计监测。建立科学有效的知识产权工作评价体系，制定年度各项目标任务的分解落实方案和重大项目实施办法，定期开展知识产权规划实施情况评估工作，对规划实施进行年度监测、中期评估和总结评估。建立信息交流和沟通机制，强化对县（市、区）知识产权工作的监督、指导与考核，把知识产权规划实施工作真正落到实处。</w:t>
      </w:r>
    </w:p>
    <w:p>
      <w:pPr>
        <w:pStyle w:val="2"/>
        <w:rPr>
          <w:color w:val="auto"/>
        </w:rPr>
      </w:pPr>
      <w:r>
        <w:rPr>
          <w:color w:val="auto"/>
        </w:rPr>
        <w:br w:type="page"/>
      </w:r>
    </w:p>
    <w:p>
      <w:pPr>
        <w:pStyle w:val="2"/>
        <w:rPr>
          <w:color w:val="auto"/>
        </w:rPr>
        <w:sectPr>
          <w:footerReference r:id="rId4" w:type="default"/>
          <w:pgSz w:w="11906" w:h="16838"/>
          <w:pgMar w:top="1440" w:right="1800" w:bottom="1440" w:left="1800" w:header="851" w:footer="992" w:gutter="0"/>
          <w:pgNumType w:start="1"/>
          <w:cols w:space="425" w:num="1"/>
          <w:docGrid w:type="lines" w:linePitch="312" w:charSpace="0"/>
        </w:sectPr>
      </w:pPr>
    </w:p>
    <w:p>
      <w:pPr>
        <w:spacing w:line="590" w:lineRule="exact"/>
        <w:jc w:val="left"/>
        <w:outlineLvl w:val="1"/>
        <w:rPr>
          <w:rFonts w:eastAsia="方正小标宋简体"/>
          <w:color w:val="auto"/>
          <w:sz w:val="44"/>
          <w:szCs w:val="44"/>
        </w:rPr>
      </w:pPr>
      <w:bookmarkStart w:id="72" w:name="_Hlk80878732"/>
      <w:r>
        <w:rPr>
          <w:rFonts w:hint="eastAsia" w:eastAsia="方正小标宋简体"/>
          <w:color w:val="auto"/>
          <w:sz w:val="44"/>
          <w:szCs w:val="44"/>
        </w:rPr>
        <w:t>附表</w:t>
      </w:r>
    </w:p>
    <w:p>
      <w:pPr>
        <w:spacing w:line="590" w:lineRule="exact"/>
        <w:jc w:val="center"/>
        <w:outlineLvl w:val="1"/>
        <w:rPr>
          <w:rFonts w:eastAsia="方正小标宋简体"/>
          <w:color w:val="auto"/>
          <w:sz w:val="44"/>
          <w:szCs w:val="44"/>
        </w:rPr>
      </w:pPr>
      <w:r>
        <w:rPr>
          <w:rFonts w:hint="eastAsia" w:eastAsia="方正小标宋简体"/>
          <w:color w:val="auto"/>
          <w:sz w:val="44"/>
          <w:szCs w:val="44"/>
        </w:rPr>
        <w:t>丽水市</w:t>
      </w:r>
      <w:r>
        <w:rPr>
          <w:rFonts w:eastAsia="方正小标宋简体"/>
          <w:color w:val="auto"/>
          <w:sz w:val="44"/>
          <w:szCs w:val="44"/>
        </w:rPr>
        <w:t>“十四五”时期知识产权领域“四重”清单</w:t>
      </w:r>
    </w:p>
    <w:tbl>
      <w:tblPr>
        <w:tblStyle w:val="12"/>
        <w:tblpPr w:leftFromText="180" w:rightFromText="180" w:vertAnchor="text" w:horzAnchor="page" w:tblpX="1865" w:tblpY="385"/>
        <w:tblOverlap w:val="never"/>
        <w:tblW w:w="1305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28" w:type="dxa"/>
          <w:left w:w="57" w:type="dxa"/>
          <w:bottom w:w="28" w:type="dxa"/>
          <w:right w:w="57" w:type="dxa"/>
        </w:tblCellMar>
      </w:tblPr>
      <w:tblGrid>
        <w:gridCol w:w="681"/>
        <w:gridCol w:w="716"/>
        <w:gridCol w:w="2668"/>
        <w:gridCol w:w="89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blHeader/>
        </w:trPr>
        <w:tc>
          <w:tcPr>
            <w:tcW w:w="681" w:type="dxa"/>
            <w:vAlign w:val="center"/>
          </w:tcPr>
          <w:p>
            <w:pPr>
              <w:snapToGrid w:val="0"/>
              <w:contextualSpacing/>
              <w:jc w:val="center"/>
              <w:rPr>
                <w:rFonts w:eastAsia="黑体"/>
                <w:bCs/>
                <w:color w:val="auto"/>
                <w:sz w:val="24"/>
                <w:szCs w:val="24"/>
              </w:rPr>
            </w:pPr>
            <w:r>
              <w:rPr>
                <w:rFonts w:eastAsia="黑体"/>
                <w:bCs/>
                <w:color w:val="auto"/>
                <w:sz w:val="24"/>
                <w:szCs w:val="24"/>
              </w:rPr>
              <w:t>类别</w:t>
            </w:r>
          </w:p>
        </w:tc>
        <w:tc>
          <w:tcPr>
            <w:tcW w:w="716" w:type="dxa"/>
            <w:vAlign w:val="center"/>
          </w:tcPr>
          <w:p>
            <w:pPr>
              <w:snapToGrid w:val="0"/>
              <w:contextualSpacing/>
              <w:jc w:val="center"/>
              <w:rPr>
                <w:rFonts w:eastAsia="黑体"/>
                <w:bCs/>
                <w:color w:val="auto"/>
                <w:sz w:val="24"/>
                <w:szCs w:val="24"/>
              </w:rPr>
            </w:pPr>
            <w:r>
              <w:rPr>
                <w:rFonts w:eastAsia="黑体"/>
                <w:bCs/>
                <w:color w:val="auto"/>
                <w:sz w:val="24"/>
                <w:szCs w:val="24"/>
              </w:rPr>
              <w:t>序号</w:t>
            </w:r>
          </w:p>
        </w:tc>
        <w:tc>
          <w:tcPr>
            <w:tcW w:w="2668" w:type="dxa"/>
            <w:vAlign w:val="center"/>
          </w:tcPr>
          <w:p>
            <w:pPr>
              <w:snapToGrid w:val="0"/>
              <w:contextualSpacing/>
              <w:jc w:val="center"/>
              <w:rPr>
                <w:rFonts w:eastAsia="黑体"/>
                <w:bCs/>
                <w:color w:val="auto"/>
                <w:sz w:val="24"/>
                <w:szCs w:val="24"/>
              </w:rPr>
            </w:pPr>
            <w:r>
              <w:rPr>
                <w:rFonts w:eastAsia="黑体"/>
                <w:bCs/>
                <w:color w:val="auto"/>
                <w:sz w:val="24"/>
                <w:szCs w:val="24"/>
              </w:rPr>
              <w:t>名</w:t>
            </w:r>
            <w:r>
              <w:rPr>
                <w:rFonts w:hint="eastAsia" w:eastAsia="黑体"/>
                <w:bCs/>
                <w:color w:val="auto"/>
                <w:sz w:val="24"/>
                <w:szCs w:val="24"/>
              </w:rPr>
              <w:t xml:space="preserve">  </w:t>
            </w:r>
            <w:r>
              <w:rPr>
                <w:rFonts w:eastAsia="黑体"/>
                <w:bCs/>
                <w:color w:val="auto"/>
                <w:sz w:val="24"/>
                <w:szCs w:val="24"/>
              </w:rPr>
              <w:t>称</w:t>
            </w:r>
          </w:p>
        </w:tc>
        <w:tc>
          <w:tcPr>
            <w:tcW w:w="8987" w:type="dxa"/>
            <w:vAlign w:val="center"/>
          </w:tcPr>
          <w:p>
            <w:pPr>
              <w:snapToGrid w:val="0"/>
              <w:contextualSpacing/>
              <w:jc w:val="center"/>
              <w:rPr>
                <w:rFonts w:eastAsia="黑体"/>
                <w:bCs/>
                <w:color w:val="auto"/>
                <w:sz w:val="24"/>
                <w:szCs w:val="24"/>
              </w:rPr>
            </w:pPr>
            <w:r>
              <w:rPr>
                <w:rFonts w:eastAsia="黑体"/>
                <w:bCs/>
                <w:color w:val="auto"/>
                <w:sz w:val="24"/>
                <w:szCs w:val="24"/>
              </w:rPr>
              <w:t>主</w:t>
            </w:r>
            <w:r>
              <w:rPr>
                <w:rFonts w:hint="eastAsia" w:eastAsia="黑体"/>
                <w:bCs/>
                <w:color w:val="auto"/>
                <w:sz w:val="24"/>
                <w:szCs w:val="24"/>
              </w:rPr>
              <w:t xml:space="preserve">  </w:t>
            </w:r>
            <w:r>
              <w:rPr>
                <w:rFonts w:eastAsia="黑体"/>
                <w:bCs/>
                <w:color w:val="auto"/>
                <w:sz w:val="24"/>
                <w:szCs w:val="24"/>
              </w:rPr>
              <w:t>要</w:t>
            </w:r>
            <w:r>
              <w:rPr>
                <w:rFonts w:hint="eastAsia" w:eastAsia="黑体"/>
                <w:bCs/>
                <w:color w:val="auto"/>
                <w:sz w:val="24"/>
                <w:szCs w:val="24"/>
              </w:rPr>
              <w:t xml:space="preserve">  </w:t>
            </w:r>
            <w:r>
              <w:rPr>
                <w:rFonts w:eastAsia="黑体"/>
                <w:bCs/>
                <w:color w:val="auto"/>
                <w:sz w:val="24"/>
                <w:szCs w:val="24"/>
              </w:rPr>
              <w:t>任</w:t>
            </w:r>
            <w:r>
              <w:rPr>
                <w:rFonts w:hint="eastAsia" w:eastAsia="黑体"/>
                <w:bCs/>
                <w:color w:val="auto"/>
                <w:sz w:val="24"/>
                <w:szCs w:val="24"/>
              </w:rPr>
              <w:t xml:space="preserve">  </w:t>
            </w:r>
            <w:r>
              <w:rPr>
                <w:rFonts w:eastAsia="黑体"/>
                <w:bCs/>
                <w:color w:val="auto"/>
                <w:sz w:val="24"/>
                <w:szCs w:val="24"/>
              </w:rPr>
              <w:t>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Align w:val="center"/>
          </w:tcPr>
          <w:p>
            <w:pPr>
              <w:snapToGrid w:val="0"/>
              <w:contextualSpacing/>
              <w:jc w:val="center"/>
              <w:rPr>
                <w:rFonts w:eastAsia="黑体"/>
                <w:color w:val="auto"/>
                <w:sz w:val="24"/>
              </w:rPr>
            </w:pPr>
            <w:r>
              <w:rPr>
                <w:rFonts w:eastAsia="黑体"/>
                <w:color w:val="auto"/>
                <w:sz w:val="24"/>
              </w:rPr>
              <w:t>重大</w:t>
            </w:r>
          </w:p>
          <w:p>
            <w:pPr>
              <w:snapToGrid w:val="0"/>
              <w:contextualSpacing/>
              <w:jc w:val="center"/>
              <w:rPr>
                <w:color w:val="auto"/>
                <w:sz w:val="24"/>
              </w:rPr>
            </w:pPr>
            <w:r>
              <w:rPr>
                <w:rFonts w:eastAsia="黑体"/>
                <w:color w:val="auto"/>
                <w:sz w:val="24"/>
              </w:rPr>
              <w:t>改革</w:t>
            </w:r>
          </w:p>
        </w:tc>
        <w:tc>
          <w:tcPr>
            <w:tcW w:w="716" w:type="dxa"/>
            <w:vAlign w:val="center"/>
          </w:tcPr>
          <w:p>
            <w:pPr>
              <w:snapToGrid w:val="0"/>
              <w:contextualSpacing/>
              <w:jc w:val="center"/>
              <w:rPr>
                <w:rFonts w:eastAsia="仿宋_GB2312"/>
                <w:color w:val="auto"/>
                <w:sz w:val="24"/>
                <w:szCs w:val="24"/>
              </w:rPr>
            </w:pPr>
            <w:r>
              <w:rPr>
                <w:rFonts w:eastAsia="仿宋_GB2312"/>
                <w:color w:val="auto"/>
                <w:sz w:val="24"/>
                <w:szCs w:val="24"/>
              </w:rPr>
              <w:t>1</w:t>
            </w:r>
          </w:p>
        </w:tc>
        <w:tc>
          <w:tcPr>
            <w:tcW w:w="2668" w:type="dxa"/>
            <w:vAlign w:val="center"/>
          </w:tcPr>
          <w:p>
            <w:pPr>
              <w:snapToGrid w:val="0"/>
              <w:contextualSpacing/>
              <w:rPr>
                <w:rFonts w:eastAsia="仿宋_GB2312"/>
                <w:color w:val="auto"/>
                <w:sz w:val="24"/>
                <w:szCs w:val="24"/>
              </w:rPr>
            </w:pPr>
            <w:r>
              <w:rPr>
                <w:rFonts w:eastAsia="仿宋_GB2312"/>
                <w:color w:val="auto"/>
                <w:sz w:val="24"/>
                <w:szCs w:val="24"/>
              </w:rPr>
              <w:t>知识产权保护“一件事”集成改革</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推进优化专利、商标、版权、地理标志、商业秘密等知识产权门类的综合管理体制，在青瓷</w:t>
            </w:r>
            <w:r>
              <w:rPr>
                <w:rFonts w:eastAsia="仿宋_GB2312"/>
                <w:color w:val="auto"/>
                <w:sz w:val="24"/>
                <w:szCs w:val="24"/>
              </w:rPr>
              <w:t>、</w:t>
            </w:r>
            <w:r>
              <w:rPr>
                <w:rFonts w:hint="eastAsia" w:eastAsia="仿宋_GB2312"/>
                <w:color w:val="auto"/>
                <w:sz w:val="24"/>
                <w:szCs w:val="24"/>
              </w:rPr>
              <w:t>木制玩具等领域试点开展外观设计专利、版权等涉及创意的知识产权综合管理模式。加快推进“生态丽水”知识产权体系建设，按照“标准化、全链条、一站式”的要求，简化工作流程，提升知识产权综合服务水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restart"/>
            <w:vAlign w:val="center"/>
          </w:tcPr>
          <w:p>
            <w:pPr>
              <w:snapToGrid w:val="0"/>
              <w:contextualSpacing/>
              <w:jc w:val="center"/>
              <w:rPr>
                <w:rFonts w:eastAsia="黑体"/>
                <w:color w:val="auto"/>
                <w:sz w:val="24"/>
              </w:rPr>
            </w:pPr>
            <w:r>
              <w:rPr>
                <w:rFonts w:eastAsia="黑体"/>
                <w:color w:val="auto"/>
                <w:sz w:val="24"/>
              </w:rPr>
              <w:t>重大</w:t>
            </w:r>
          </w:p>
          <w:p>
            <w:pPr>
              <w:snapToGrid w:val="0"/>
              <w:contextualSpacing/>
              <w:jc w:val="center"/>
              <w:rPr>
                <w:rFonts w:eastAsia="黑体"/>
                <w:color w:val="auto"/>
                <w:sz w:val="24"/>
              </w:rPr>
            </w:pPr>
            <w:r>
              <w:rPr>
                <w:rFonts w:eastAsia="黑体"/>
                <w:color w:val="auto"/>
                <w:sz w:val="24"/>
              </w:rPr>
              <w:t>项目</w:t>
            </w:r>
          </w:p>
          <w:p>
            <w:pPr>
              <w:snapToGrid w:val="0"/>
              <w:contextualSpacing/>
              <w:jc w:val="center"/>
              <w:rPr>
                <w:rFonts w:eastAsia="黑体"/>
                <w:color w:val="auto"/>
                <w:sz w:val="24"/>
              </w:rPr>
            </w:pPr>
          </w:p>
        </w:tc>
        <w:tc>
          <w:tcPr>
            <w:tcW w:w="716" w:type="dxa"/>
            <w:vAlign w:val="center"/>
          </w:tcPr>
          <w:p>
            <w:pPr>
              <w:snapToGrid w:val="0"/>
              <w:contextualSpacing/>
              <w:jc w:val="center"/>
              <w:rPr>
                <w:rFonts w:eastAsia="仿宋_GB2312"/>
                <w:color w:val="auto"/>
                <w:sz w:val="24"/>
                <w:szCs w:val="24"/>
              </w:rPr>
            </w:pPr>
            <w:r>
              <w:rPr>
                <w:rFonts w:eastAsia="仿宋_GB2312"/>
                <w:color w:val="auto"/>
                <w:sz w:val="24"/>
                <w:szCs w:val="24"/>
              </w:rPr>
              <w:t>1</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科创与知识产权示范区联动建设工程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积极融入全省打造全球创新策源地布局，深度对接杭州城西科创大走廊，用好杭州（丽水）数字大厦，发挥缙云、龙泉、丽水开发区产业创新服务综合体的示范作用，联动谋划布局和建设一批“科创+特色产业”区域性科创基地，加快推进知识产权强市强县建设，积极推动龙泉市创建全国版权示范城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1003"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2</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知识产权领军企业培育工程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实施科技企业“双倍增”行动，将企业知识产权作为重要指标纳入“凤凰行动”“雄鹰行动”“雏鹰行动”等遴选评价体系，引导行业领军型企业强化知识产权管理和保护，培育更多高价值核心专利和知名品牌。健全科技企业梯次培育机制。全力培育创新型领军企业、高新技术企业、科技型企业，打造“专精特新”企业集群，探索建设科创板知识产权加速器，培育一批科创型上市企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1003"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3</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知识产权服务能力提升工程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积极培育高品质知识产权服务机构，促进知识产权服务向专业化、标准化方向发展，为企业提供信息预警、分析评估、代理、投资融资、维权、培训等知识产权“一站式”服务，鼓励优质服务机构入驻丽水。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1003"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4</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重点产业知识产权战略支撑工程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充分发挥知识产权对五大产业集群的支撑作用，加快高价值核心发明专利布局，在半导体全链条、精密制造、健康医药、时尚产业、数字经济等领域布局一批国际专利，形成一批高价值专利组合和标准必要专利。建立知识产权护航产业链机制。在生物医药大健康领域实施一批知识产权评议和预警分析项目，强化产业链知识产权全球布局。持续推进实施专利导航项目。面向重点区域、产业、企业组织实施一批高质量的区域规划类、产业规划类和企业经营类专利导航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1129" w:hRule="atLeast"/>
        </w:trPr>
        <w:tc>
          <w:tcPr>
            <w:tcW w:w="681" w:type="dxa"/>
            <w:vMerge w:val="continue"/>
            <w:vAlign w:val="center"/>
          </w:tcPr>
          <w:p>
            <w:pPr>
              <w:snapToGrid w:val="0"/>
              <w:contextualSpacing/>
              <w:jc w:val="center"/>
              <w:rPr>
                <w:rFonts w:eastAsia="黑体"/>
                <w:color w:val="auto"/>
                <w:sz w:val="24"/>
              </w:rPr>
            </w:pP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5</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公共品牌与地理标志保护运用促进工程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完善地理标志运用促进体系，提升地理标志运用促进和保护水平，积极引导企业申请使用地理标志专用标志，梳理地理标志产业扶持政策，加强地理标志产品监管，促进现代农业跨越式发展。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1101" w:hRule="atLeast"/>
        </w:trPr>
        <w:tc>
          <w:tcPr>
            <w:tcW w:w="681" w:type="dxa"/>
            <w:vMerge w:val="continue"/>
            <w:vAlign w:val="center"/>
          </w:tcPr>
          <w:p>
            <w:pPr>
              <w:snapToGrid w:val="0"/>
              <w:contextualSpacing/>
              <w:jc w:val="center"/>
              <w:rPr>
                <w:rFonts w:eastAsia="黑体"/>
                <w:color w:val="auto"/>
                <w:sz w:val="24"/>
              </w:rPr>
            </w:pPr>
          </w:p>
        </w:tc>
        <w:tc>
          <w:tcPr>
            <w:tcW w:w="716" w:type="dxa"/>
            <w:vAlign w:val="center"/>
          </w:tcPr>
          <w:p>
            <w:pPr>
              <w:snapToGrid w:val="0"/>
              <w:contextualSpacing/>
              <w:jc w:val="center"/>
              <w:rPr>
                <w:rFonts w:eastAsia="仿宋_GB2312"/>
                <w:color w:val="auto"/>
                <w:sz w:val="24"/>
                <w:szCs w:val="24"/>
              </w:rPr>
            </w:pPr>
            <w:r>
              <w:rPr>
                <w:rFonts w:eastAsia="仿宋_GB2312"/>
                <w:color w:val="auto"/>
                <w:sz w:val="24"/>
                <w:szCs w:val="24"/>
              </w:rPr>
              <w:t>6</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知识产权服务业品牌机构培育项目</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引导知识产权服务机构通过创新经营模式、拓展业务渠道、优化服务内涵等方式，支持知识产权服务机构向品牌化、高端化、集成化、国际化发展，持续提升服务质量、创新服务模式，营造更好的创新环境和营商环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7</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高质量知识产权培育工程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实施专利质量提升工程。坚持“数量布局、质量取胜”，实施商标品牌战略，挖掘培育地理标志产品和地理标志商标，建立地理标志梯次培育库，积极指导产业协会和企业加强品牌培育，提升地理标志数量和质量。针对新业态新领域发展趋势，加强版权、植物新品种、集成电路布图设计等方面知识产权工作，提升知识产权综合实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8</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知识产权金融服务创新工程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积极探索知识产权金融产品创新，鼓励设立产业知识产权投资基金，发展天使风险投资，完善利益共享机制，继续简化知识产权质押贷款流程，解决中小微企业融资难问题，开设适合企业现状的专利险种。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9</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知识产权助力乡村振兴工程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开展知识产权助力乡村振兴示范区建设，出台地理标志和传统文化、传统知识的运用促进政策，探索开展知识产权助力共同富裕工程，服务区域经济和产业提升。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restart"/>
            <w:vAlign w:val="center"/>
          </w:tcPr>
          <w:p>
            <w:pPr>
              <w:snapToGrid w:val="0"/>
              <w:contextualSpacing/>
              <w:jc w:val="center"/>
              <w:rPr>
                <w:rFonts w:eastAsia="黑体"/>
                <w:color w:val="auto"/>
                <w:sz w:val="24"/>
              </w:rPr>
            </w:pPr>
            <w:r>
              <w:rPr>
                <w:rFonts w:hint="eastAsia" w:eastAsia="黑体"/>
                <w:color w:val="auto"/>
                <w:sz w:val="24"/>
              </w:rPr>
              <w:t>重大平台</w:t>
            </w: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1</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数字丽水知识产权驾驶舱建设工程</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加强知识产权信息开发利用，大力推进跨部门、跨层级、跨领域知识产权信息互联互通，深入实施以信用为基础的分级分类监管工作，围绕知识产权行政管理、重点产业专利导航、重点领域知识产权预警分析、知识产权海外保护等重点领域，推动知识产权数据融合利用，拓展知识产权数据场景化多业务协同应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continue"/>
            <w:vAlign w:val="center"/>
          </w:tcPr>
          <w:p>
            <w:pPr>
              <w:snapToGrid w:val="0"/>
              <w:contextualSpacing/>
              <w:jc w:val="center"/>
              <w:rPr>
                <w:rFonts w:eastAsia="黑体"/>
                <w:color w:val="auto"/>
                <w:sz w:val="24"/>
              </w:rPr>
            </w:pPr>
          </w:p>
        </w:tc>
        <w:tc>
          <w:tcPr>
            <w:tcW w:w="716" w:type="dxa"/>
            <w:vAlign w:val="center"/>
          </w:tcPr>
          <w:p>
            <w:pPr>
              <w:snapToGrid w:val="0"/>
              <w:contextualSpacing/>
              <w:jc w:val="center"/>
              <w:rPr>
                <w:rFonts w:eastAsia="仿宋_GB2312"/>
                <w:color w:val="auto"/>
                <w:sz w:val="24"/>
                <w:szCs w:val="24"/>
              </w:rPr>
            </w:pPr>
            <w:r>
              <w:rPr>
                <w:rFonts w:hint="eastAsia" w:eastAsia="仿宋_GB2312"/>
                <w:color w:val="auto"/>
                <w:sz w:val="24"/>
                <w:szCs w:val="24"/>
              </w:rPr>
              <w:t>2</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知识产权公共服务平台</w:t>
            </w:r>
          </w:p>
        </w:tc>
        <w:tc>
          <w:tcPr>
            <w:tcW w:w="8987" w:type="dxa"/>
            <w:vAlign w:val="center"/>
          </w:tcPr>
          <w:p>
            <w:pPr>
              <w:snapToGrid w:val="0"/>
              <w:contextualSpacing/>
              <w:rPr>
                <w:rFonts w:eastAsia="仿宋_GB2312"/>
                <w:color w:val="auto"/>
                <w:sz w:val="24"/>
                <w:szCs w:val="24"/>
              </w:rPr>
            </w:pPr>
            <w:r>
              <w:rPr>
                <w:rFonts w:eastAsia="仿宋_GB2312"/>
                <w:color w:val="auto"/>
                <w:sz w:val="24"/>
                <w:szCs w:val="24"/>
              </w:rPr>
              <w:t>借助“互联网+”为企业</w:t>
            </w:r>
            <w:r>
              <w:rPr>
                <w:rFonts w:hint="eastAsia" w:eastAsia="仿宋_GB2312"/>
                <w:color w:val="auto"/>
                <w:sz w:val="24"/>
                <w:szCs w:val="24"/>
              </w:rPr>
              <w:t>打造</w:t>
            </w:r>
            <w:r>
              <w:rPr>
                <w:rFonts w:eastAsia="仿宋_GB2312"/>
                <w:color w:val="auto"/>
                <w:sz w:val="24"/>
                <w:szCs w:val="24"/>
              </w:rPr>
              <w:t>知识产权政策介绍、申报指南、网上培训、专利展示等功能为一体的丽水市知识产权</w:t>
            </w:r>
            <w:r>
              <w:rPr>
                <w:rFonts w:hint="eastAsia" w:eastAsia="仿宋_GB2312"/>
                <w:color w:val="auto"/>
                <w:sz w:val="24"/>
                <w:szCs w:val="24"/>
              </w:rPr>
              <w:t>公共服务平台。建立健全知识产权快速维权中心、专利数据库等知识产权公共服务平台。依托市知识产权人才培养基地和行业协会的平台，推动开展企业知识产权综合服务。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eastAsia="仿宋_GB2312"/>
                <w:color w:val="auto"/>
                <w:sz w:val="24"/>
                <w:szCs w:val="24"/>
              </w:rPr>
              <w:t>3</w:t>
            </w:r>
          </w:p>
        </w:tc>
        <w:tc>
          <w:tcPr>
            <w:tcW w:w="2668" w:type="dxa"/>
            <w:vAlign w:val="center"/>
          </w:tcPr>
          <w:p>
            <w:pPr>
              <w:snapToGrid w:val="0"/>
              <w:contextualSpacing/>
              <w:rPr>
                <w:rFonts w:eastAsia="仿宋_GB2312"/>
                <w:color w:val="auto"/>
                <w:sz w:val="24"/>
                <w:szCs w:val="24"/>
              </w:rPr>
            </w:pPr>
            <w:r>
              <w:rPr>
                <w:rFonts w:hint="eastAsia" w:eastAsia="仿宋_GB2312"/>
                <w:color w:val="auto"/>
                <w:sz w:val="24"/>
                <w:szCs w:val="24"/>
              </w:rPr>
              <w:t>五大产业集群</w:t>
            </w:r>
            <w:r>
              <w:rPr>
                <w:rFonts w:eastAsia="仿宋_GB2312"/>
                <w:color w:val="auto"/>
                <w:sz w:val="24"/>
                <w:szCs w:val="24"/>
              </w:rPr>
              <w:t>知识产权运营平台</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推动重点产业知识产权密集化。聚焦半导体全链条、精密制造、健康医药、时尚产业、数字经济等五大产业集群以及食用菌、剑瓷、竹木制品加工等特色产业，开展专利导航及布局，绘制未来产业、重点产业的知识产权图谱，实施区域重大产业规划、政府重大投资项目知识产权评议制度，打造一批具有代表性的知识产权密集型产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restart"/>
            <w:vAlign w:val="center"/>
          </w:tcPr>
          <w:p>
            <w:pPr>
              <w:snapToGrid w:val="0"/>
              <w:contextualSpacing/>
              <w:jc w:val="center"/>
              <w:rPr>
                <w:rFonts w:eastAsia="黑体"/>
                <w:color w:val="auto"/>
                <w:sz w:val="24"/>
              </w:rPr>
            </w:pPr>
            <w:r>
              <w:rPr>
                <w:rFonts w:eastAsia="黑体"/>
                <w:color w:val="auto"/>
                <w:sz w:val="24"/>
              </w:rPr>
              <w:t>重大</w:t>
            </w:r>
          </w:p>
          <w:p>
            <w:pPr>
              <w:snapToGrid w:val="0"/>
              <w:contextualSpacing/>
              <w:jc w:val="center"/>
              <w:rPr>
                <w:color w:val="auto"/>
                <w:sz w:val="24"/>
              </w:rPr>
            </w:pPr>
            <w:r>
              <w:rPr>
                <w:rFonts w:eastAsia="黑体"/>
                <w:color w:val="auto"/>
                <w:sz w:val="24"/>
              </w:rPr>
              <w:t>政策</w:t>
            </w:r>
          </w:p>
        </w:tc>
        <w:tc>
          <w:tcPr>
            <w:tcW w:w="716" w:type="dxa"/>
            <w:vAlign w:val="center"/>
          </w:tcPr>
          <w:p>
            <w:pPr>
              <w:snapToGrid w:val="0"/>
              <w:contextualSpacing/>
              <w:jc w:val="center"/>
              <w:rPr>
                <w:rFonts w:eastAsia="仿宋_GB2312"/>
                <w:color w:val="auto"/>
                <w:sz w:val="24"/>
                <w:szCs w:val="24"/>
              </w:rPr>
            </w:pPr>
            <w:r>
              <w:rPr>
                <w:rFonts w:eastAsia="仿宋_GB2312"/>
                <w:color w:val="auto"/>
                <w:sz w:val="24"/>
                <w:szCs w:val="24"/>
              </w:rPr>
              <w:t>1</w:t>
            </w:r>
          </w:p>
        </w:tc>
        <w:tc>
          <w:tcPr>
            <w:tcW w:w="2668" w:type="dxa"/>
            <w:vAlign w:val="center"/>
          </w:tcPr>
          <w:p>
            <w:pPr>
              <w:snapToGrid w:val="0"/>
              <w:contextualSpacing/>
              <w:rPr>
                <w:rFonts w:eastAsia="仿宋_GB2312"/>
                <w:color w:val="auto"/>
                <w:sz w:val="24"/>
                <w:szCs w:val="24"/>
              </w:rPr>
            </w:pPr>
            <w:r>
              <w:rPr>
                <w:rFonts w:eastAsia="仿宋_GB2312"/>
                <w:color w:val="auto"/>
                <w:sz w:val="24"/>
                <w:szCs w:val="24"/>
              </w:rPr>
              <w:t>知识产权促进和保护综合性法规</w:t>
            </w:r>
          </w:p>
        </w:tc>
        <w:tc>
          <w:tcPr>
            <w:tcW w:w="8987" w:type="dxa"/>
            <w:vAlign w:val="center"/>
          </w:tcPr>
          <w:p>
            <w:pPr>
              <w:snapToGrid w:val="0"/>
              <w:contextualSpacing/>
              <w:rPr>
                <w:rFonts w:eastAsia="仿宋_GB2312"/>
                <w:color w:val="auto"/>
                <w:sz w:val="24"/>
                <w:szCs w:val="24"/>
              </w:rPr>
            </w:pPr>
            <w:r>
              <w:rPr>
                <w:rFonts w:eastAsia="仿宋_GB2312"/>
                <w:color w:val="auto"/>
                <w:sz w:val="24"/>
                <w:szCs w:val="24"/>
              </w:rPr>
              <w:t>围绕知识产权全门类、全链条管理，整合散落的立法资源，制定专门条例。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eastAsia="仿宋_GB2312"/>
                <w:color w:val="auto"/>
                <w:sz w:val="24"/>
                <w:szCs w:val="24"/>
              </w:rPr>
              <w:t>2</w:t>
            </w:r>
          </w:p>
        </w:tc>
        <w:tc>
          <w:tcPr>
            <w:tcW w:w="2668" w:type="dxa"/>
            <w:vAlign w:val="center"/>
          </w:tcPr>
          <w:p>
            <w:pPr>
              <w:snapToGrid w:val="0"/>
              <w:contextualSpacing/>
              <w:rPr>
                <w:rFonts w:eastAsia="仿宋_GB2312"/>
                <w:color w:val="auto"/>
                <w:sz w:val="24"/>
                <w:szCs w:val="24"/>
              </w:rPr>
            </w:pPr>
            <w:r>
              <w:rPr>
                <w:rFonts w:eastAsia="仿宋_GB2312"/>
                <w:color w:val="auto"/>
                <w:sz w:val="24"/>
                <w:szCs w:val="24"/>
              </w:rPr>
              <w:t>创新高校和科研院所激励机制</w:t>
            </w:r>
          </w:p>
        </w:tc>
        <w:tc>
          <w:tcPr>
            <w:tcW w:w="8987" w:type="dxa"/>
            <w:vAlign w:val="center"/>
          </w:tcPr>
          <w:p>
            <w:pPr>
              <w:snapToGrid w:val="0"/>
              <w:contextualSpacing/>
              <w:rPr>
                <w:rFonts w:eastAsia="仿宋_GB2312"/>
                <w:color w:val="auto"/>
                <w:sz w:val="24"/>
                <w:szCs w:val="24"/>
              </w:rPr>
            </w:pPr>
            <w:r>
              <w:rPr>
                <w:rFonts w:eastAsia="仿宋_GB2312"/>
                <w:color w:val="auto"/>
                <w:sz w:val="24"/>
                <w:szCs w:val="24"/>
              </w:rPr>
              <w:t>深入推进高校、科研院所知识产权管理制度改革，建立以转化运用为导向的科研评价体系，促进公共关键技术攻关和成果扩散。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eastAsia="仿宋_GB2312"/>
                <w:color w:val="auto"/>
                <w:sz w:val="24"/>
                <w:szCs w:val="24"/>
              </w:rPr>
              <w:t>3</w:t>
            </w:r>
          </w:p>
        </w:tc>
        <w:tc>
          <w:tcPr>
            <w:tcW w:w="2668" w:type="dxa"/>
            <w:vAlign w:val="center"/>
          </w:tcPr>
          <w:p>
            <w:pPr>
              <w:snapToGrid w:val="0"/>
              <w:contextualSpacing/>
              <w:rPr>
                <w:rFonts w:eastAsia="仿宋_GB2312"/>
                <w:color w:val="auto"/>
                <w:sz w:val="24"/>
                <w:szCs w:val="24"/>
              </w:rPr>
            </w:pPr>
            <w:r>
              <w:rPr>
                <w:rFonts w:eastAsia="仿宋_GB2312"/>
                <w:color w:val="auto"/>
                <w:sz w:val="24"/>
                <w:szCs w:val="24"/>
              </w:rPr>
              <w:t>知识产权高端领航人才培养</w:t>
            </w:r>
          </w:p>
        </w:tc>
        <w:tc>
          <w:tcPr>
            <w:tcW w:w="8987" w:type="dxa"/>
            <w:vAlign w:val="center"/>
          </w:tcPr>
          <w:p>
            <w:pPr>
              <w:snapToGrid w:val="0"/>
              <w:contextualSpacing/>
              <w:rPr>
                <w:rFonts w:eastAsia="仿宋_GB2312"/>
                <w:color w:val="auto"/>
                <w:sz w:val="24"/>
                <w:szCs w:val="24"/>
              </w:rPr>
            </w:pPr>
            <w:r>
              <w:rPr>
                <w:rFonts w:hint="eastAsia" w:eastAsia="仿宋_GB2312"/>
                <w:color w:val="auto"/>
                <w:sz w:val="24"/>
                <w:szCs w:val="24"/>
              </w:rPr>
              <w:t>贯彻落实</w:t>
            </w:r>
            <w:r>
              <w:rPr>
                <w:rFonts w:eastAsia="仿宋_GB2312"/>
                <w:color w:val="auto"/>
                <w:sz w:val="24"/>
                <w:szCs w:val="24"/>
              </w:rPr>
              <w:t>知识产权职称等级认定、职业行为规范等相关政策，完善知识产权人才评价、流动、激励机制，构建知识产权人才引进、培养和认定工作体系，构建知识产权决策咨询专家库、领军人才库和骨干人才库。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57" w:type="dxa"/>
            <w:bottom w:w="28" w:type="dxa"/>
            <w:right w:w="57" w:type="dxa"/>
          </w:tblCellMar>
        </w:tblPrEx>
        <w:trPr>
          <w:trHeight w:val="482" w:hRule="atLeast"/>
        </w:trPr>
        <w:tc>
          <w:tcPr>
            <w:tcW w:w="681" w:type="dxa"/>
            <w:vMerge w:val="continue"/>
            <w:vAlign w:val="center"/>
          </w:tcPr>
          <w:p>
            <w:pPr>
              <w:snapToGrid w:val="0"/>
              <w:contextualSpacing/>
              <w:jc w:val="center"/>
              <w:rPr>
                <w:color w:val="auto"/>
                <w:sz w:val="24"/>
              </w:rPr>
            </w:pPr>
          </w:p>
        </w:tc>
        <w:tc>
          <w:tcPr>
            <w:tcW w:w="716" w:type="dxa"/>
            <w:vAlign w:val="center"/>
          </w:tcPr>
          <w:p>
            <w:pPr>
              <w:snapToGrid w:val="0"/>
              <w:contextualSpacing/>
              <w:jc w:val="center"/>
              <w:rPr>
                <w:rFonts w:eastAsia="仿宋_GB2312"/>
                <w:color w:val="auto"/>
                <w:sz w:val="24"/>
                <w:szCs w:val="24"/>
              </w:rPr>
            </w:pPr>
            <w:r>
              <w:rPr>
                <w:rFonts w:eastAsia="仿宋_GB2312"/>
                <w:color w:val="auto"/>
                <w:sz w:val="24"/>
                <w:szCs w:val="24"/>
              </w:rPr>
              <w:t>4</w:t>
            </w:r>
          </w:p>
        </w:tc>
        <w:tc>
          <w:tcPr>
            <w:tcW w:w="2668" w:type="dxa"/>
            <w:vAlign w:val="center"/>
          </w:tcPr>
          <w:p>
            <w:pPr>
              <w:snapToGrid w:val="0"/>
              <w:contextualSpacing/>
              <w:rPr>
                <w:rFonts w:eastAsia="仿宋_GB2312"/>
                <w:color w:val="auto"/>
                <w:sz w:val="24"/>
                <w:szCs w:val="24"/>
              </w:rPr>
            </w:pPr>
            <w:r>
              <w:rPr>
                <w:rFonts w:eastAsia="仿宋_GB2312"/>
                <w:color w:val="auto"/>
                <w:sz w:val="24"/>
                <w:szCs w:val="24"/>
              </w:rPr>
              <w:t>完善知识产权交易政策制度</w:t>
            </w:r>
          </w:p>
        </w:tc>
        <w:tc>
          <w:tcPr>
            <w:tcW w:w="8987" w:type="dxa"/>
            <w:vAlign w:val="center"/>
          </w:tcPr>
          <w:p>
            <w:pPr>
              <w:snapToGrid w:val="0"/>
              <w:contextualSpacing/>
              <w:rPr>
                <w:rFonts w:eastAsia="仿宋_GB2312"/>
                <w:color w:val="auto"/>
                <w:sz w:val="24"/>
                <w:szCs w:val="24"/>
              </w:rPr>
            </w:pPr>
            <w:r>
              <w:rPr>
                <w:rFonts w:eastAsia="仿宋_GB2312"/>
                <w:color w:val="auto"/>
                <w:sz w:val="24"/>
                <w:szCs w:val="24"/>
              </w:rPr>
              <w:t>制定完善地方性知识产权交易市场的配套政策，促进交易市场的制度化法制化。通过财税政策引导和鼓励交易市场或机构的信息平台与能力建设，引导建立适应知识产权交易的多元化、多渠道投融资机制，促进知识产权交易市场发展。</w:t>
            </w:r>
          </w:p>
        </w:tc>
      </w:tr>
      <w:bookmarkEnd w:id="72"/>
    </w:tbl>
    <w:p>
      <w:pPr>
        <w:pStyle w:val="2"/>
        <w:rPr>
          <w:color w:val="auto"/>
        </w:rPr>
      </w:pPr>
    </w:p>
    <w:sectPr>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C88645-559D-4C96-855B-C5F118FE831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embedRegular r:id="rId2" w:fontKey="{409DFD53-9062-44BB-BFA6-3D3543B5B91F}"/>
  </w:font>
  <w:font w:name="方正小标宋简体">
    <w:panose1 w:val="02000000000000000000"/>
    <w:charset w:val="86"/>
    <w:family w:val="auto"/>
    <w:pitch w:val="default"/>
    <w:sig w:usb0="00000001" w:usb1="08000000" w:usb2="00000000" w:usb3="00000000" w:csb0="00040000" w:csb1="00000000"/>
    <w:embedRegular r:id="rId3" w:fontKey="{FA193691-F923-4251-9EFB-857C81D427CF}"/>
  </w:font>
  <w:font w:name="楷体">
    <w:panose1 w:val="02010609060101010101"/>
    <w:charset w:val="86"/>
    <w:family w:val="modern"/>
    <w:pitch w:val="default"/>
    <w:sig w:usb0="800002BF" w:usb1="38CF7CFA" w:usb2="00000016" w:usb3="00000000" w:csb0="00040001" w:csb1="00000000"/>
    <w:embedRegular r:id="rId4" w:fontKey="{149E35D4-0840-400D-8E69-A2511536A7F5}"/>
  </w:font>
  <w:font w:name="仿宋">
    <w:panose1 w:val="02010609060101010101"/>
    <w:charset w:val="86"/>
    <w:family w:val="modern"/>
    <w:pitch w:val="default"/>
    <w:sig w:usb0="800002BF" w:usb1="38CF7CFA" w:usb2="00000016" w:usb3="00000000" w:csb0="00040001" w:csb1="00000000"/>
    <w:embedRegular r:id="rId5" w:fontKey="{32B1CCB1-C5E3-4C72-90E1-820C8FB7F936}"/>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NTgxNjlhMjdhMjVhYjFhMzg5OWFiZDcwNDY3NDkifQ=="/>
  </w:docVars>
  <w:rsids>
    <w:rsidRoot w:val="000948AB"/>
    <w:rsid w:val="00000E22"/>
    <w:rsid w:val="00003F65"/>
    <w:rsid w:val="00005D2A"/>
    <w:rsid w:val="000062A8"/>
    <w:rsid w:val="00007337"/>
    <w:rsid w:val="00007CE0"/>
    <w:rsid w:val="00011656"/>
    <w:rsid w:val="0001462C"/>
    <w:rsid w:val="00015DA4"/>
    <w:rsid w:val="000244BF"/>
    <w:rsid w:val="00024E88"/>
    <w:rsid w:val="00032A16"/>
    <w:rsid w:val="00033A71"/>
    <w:rsid w:val="00034396"/>
    <w:rsid w:val="00035F80"/>
    <w:rsid w:val="0003635A"/>
    <w:rsid w:val="000401A6"/>
    <w:rsid w:val="00041040"/>
    <w:rsid w:val="00051629"/>
    <w:rsid w:val="00051880"/>
    <w:rsid w:val="0005461A"/>
    <w:rsid w:val="000546E6"/>
    <w:rsid w:val="00082E7C"/>
    <w:rsid w:val="00083548"/>
    <w:rsid w:val="00086DBC"/>
    <w:rsid w:val="00093433"/>
    <w:rsid w:val="00093D79"/>
    <w:rsid w:val="000948AB"/>
    <w:rsid w:val="00094A8F"/>
    <w:rsid w:val="000A0626"/>
    <w:rsid w:val="000A37F1"/>
    <w:rsid w:val="000A4F55"/>
    <w:rsid w:val="000A5C40"/>
    <w:rsid w:val="000A6412"/>
    <w:rsid w:val="000A64CB"/>
    <w:rsid w:val="000A6851"/>
    <w:rsid w:val="000B4992"/>
    <w:rsid w:val="000B6441"/>
    <w:rsid w:val="000B656D"/>
    <w:rsid w:val="000C2BEC"/>
    <w:rsid w:val="000C2D89"/>
    <w:rsid w:val="000C6DE0"/>
    <w:rsid w:val="000C7078"/>
    <w:rsid w:val="000C7828"/>
    <w:rsid w:val="000D2B40"/>
    <w:rsid w:val="000D341A"/>
    <w:rsid w:val="000D6805"/>
    <w:rsid w:val="000D78DD"/>
    <w:rsid w:val="000E171D"/>
    <w:rsid w:val="000E2436"/>
    <w:rsid w:val="000E2DC5"/>
    <w:rsid w:val="000E35B7"/>
    <w:rsid w:val="000E377F"/>
    <w:rsid w:val="000E3CB9"/>
    <w:rsid w:val="000E59B6"/>
    <w:rsid w:val="000F2599"/>
    <w:rsid w:val="000F7048"/>
    <w:rsid w:val="000F7150"/>
    <w:rsid w:val="00101444"/>
    <w:rsid w:val="0010381A"/>
    <w:rsid w:val="00104396"/>
    <w:rsid w:val="00106E6F"/>
    <w:rsid w:val="00106EDA"/>
    <w:rsid w:val="001104C6"/>
    <w:rsid w:val="00112A82"/>
    <w:rsid w:val="00125D9C"/>
    <w:rsid w:val="00130649"/>
    <w:rsid w:val="001314F1"/>
    <w:rsid w:val="001319A6"/>
    <w:rsid w:val="00134439"/>
    <w:rsid w:val="00135C1C"/>
    <w:rsid w:val="00136D69"/>
    <w:rsid w:val="001415B7"/>
    <w:rsid w:val="00145827"/>
    <w:rsid w:val="00151E3E"/>
    <w:rsid w:val="00161C5F"/>
    <w:rsid w:val="00163551"/>
    <w:rsid w:val="00164357"/>
    <w:rsid w:val="0016485E"/>
    <w:rsid w:val="001732C7"/>
    <w:rsid w:val="00173403"/>
    <w:rsid w:val="0017570A"/>
    <w:rsid w:val="00177CBF"/>
    <w:rsid w:val="00180697"/>
    <w:rsid w:val="00183462"/>
    <w:rsid w:val="001835C6"/>
    <w:rsid w:val="00193E93"/>
    <w:rsid w:val="001A05F5"/>
    <w:rsid w:val="001B2543"/>
    <w:rsid w:val="001C181C"/>
    <w:rsid w:val="001C2058"/>
    <w:rsid w:val="001C27A3"/>
    <w:rsid w:val="001C5C85"/>
    <w:rsid w:val="001C5F9B"/>
    <w:rsid w:val="001D1A4A"/>
    <w:rsid w:val="001D4069"/>
    <w:rsid w:val="001D5331"/>
    <w:rsid w:val="001D577C"/>
    <w:rsid w:val="001E1635"/>
    <w:rsid w:val="001E2AED"/>
    <w:rsid w:val="001E3367"/>
    <w:rsid w:val="001E381A"/>
    <w:rsid w:val="001E40A4"/>
    <w:rsid w:val="001E5590"/>
    <w:rsid w:val="001E66F0"/>
    <w:rsid w:val="001F463B"/>
    <w:rsid w:val="001F608B"/>
    <w:rsid w:val="001F6A82"/>
    <w:rsid w:val="001F7D88"/>
    <w:rsid w:val="001F7F78"/>
    <w:rsid w:val="0020052D"/>
    <w:rsid w:val="00201C5A"/>
    <w:rsid w:val="002045D0"/>
    <w:rsid w:val="00204974"/>
    <w:rsid w:val="00210C76"/>
    <w:rsid w:val="002115D6"/>
    <w:rsid w:val="002214D5"/>
    <w:rsid w:val="00224CC5"/>
    <w:rsid w:val="00225118"/>
    <w:rsid w:val="00225A0B"/>
    <w:rsid w:val="00232047"/>
    <w:rsid w:val="0023206C"/>
    <w:rsid w:val="0023746B"/>
    <w:rsid w:val="0024225F"/>
    <w:rsid w:val="002449D5"/>
    <w:rsid w:val="00246BDB"/>
    <w:rsid w:val="00246CB5"/>
    <w:rsid w:val="0025009B"/>
    <w:rsid w:val="002509FB"/>
    <w:rsid w:val="0025419E"/>
    <w:rsid w:val="00255890"/>
    <w:rsid w:val="00256532"/>
    <w:rsid w:val="00256567"/>
    <w:rsid w:val="0025738E"/>
    <w:rsid w:val="00260703"/>
    <w:rsid w:val="00272D25"/>
    <w:rsid w:val="00276949"/>
    <w:rsid w:val="00276D19"/>
    <w:rsid w:val="002832D4"/>
    <w:rsid w:val="002846F1"/>
    <w:rsid w:val="0029052D"/>
    <w:rsid w:val="00296931"/>
    <w:rsid w:val="002A0635"/>
    <w:rsid w:val="002A07A5"/>
    <w:rsid w:val="002A52DF"/>
    <w:rsid w:val="002B549D"/>
    <w:rsid w:val="002B60C4"/>
    <w:rsid w:val="002C0F7C"/>
    <w:rsid w:val="002C202D"/>
    <w:rsid w:val="002C4623"/>
    <w:rsid w:val="002C6802"/>
    <w:rsid w:val="002C6F2D"/>
    <w:rsid w:val="002D5BD7"/>
    <w:rsid w:val="002F2FB1"/>
    <w:rsid w:val="002F371F"/>
    <w:rsid w:val="002F3843"/>
    <w:rsid w:val="002F6649"/>
    <w:rsid w:val="002F6854"/>
    <w:rsid w:val="002F6A2B"/>
    <w:rsid w:val="00300483"/>
    <w:rsid w:val="00302797"/>
    <w:rsid w:val="00312E35"/>
    <w:rsid w:val="00313407"/>
    <w:rsid w:val="00315151"/>
    <w:rsid w:val="00316040"/>
    <w:rsid w:val="00322284"/>
    <w:rsid w:val="0032772E"/>
    <w:rsid w:val="0033233F"/>
    <w:rsid w:val="00334782"/>
    <w:rsid w:val="00334804"/>
    <w:rsid w:val="00334DAE"/>
    <w:rsid w:val="00336721"/>
    <w:rsid w:val="003377BE"/>
    <w:rsid w:val="003423A9"/>
    <w:rsid w:val="00344022"/>
    <w:rsid w:val="00344FCC"/>
    <w:rsid w:val="00347257"/>
    <w:rsid w:val="003477DE"/>
    <w:rsid w:val="00350B4A"/>
    <w:rsid w:val="00354E23"/>
    <w:rsid w:val="00356B5E"/>
    <w:rsid w:val="00361C7F"/>
    <w:rsid w:val="003623AF"/>
    <w:rsid w:val="00370BCB"/>
    <w:rsid w:val="00370D2F"/>
    <w:rsid w:val="0037262E"/>
    <w:rsid w:val="00374523"/>
    <w:rsid w:val="003827C6"/>
    <w:rsid w:val="00384071"/>
    <w:rsid w:val="00387441"/>
    <w:rsid w:val="0039736F"/>
    <w:rsid w:val="003979A3"/>
    <w:rsid w:val="003A3655"/>
    <w:rsid w:val="003A5D94"/>
    <w:rsid w:val="003A5F63"/>
    <w:rsid w:val="003B23E2"/>
    <w:rsid w:val="003B3AC9"/>
    <w:rsid w:val="003B4502"/>
    <w:rsid w:val="003C027E"/>
    <w:rsid w:val="003C156A"/>
    <w:rsid w:val="003C15DE"/>
    <w:rsid w:val="003C4411"/>
    <w:rsid w:val="003C5490"/>
    <w:rsid w:val="003D1478"/>
    <w:rsid w:val="003E020F"/>
    <w:rsid w:val="003E050F"/>
    <w:rsid w:val="003E1CF2"/>
    <w:rsid w:val="003E2C6E"/>
    <w:rsid w:val="003E7CBD"/>
    <w:rsid w:val="003E7D1D"/>
    <w:rsid w:val="003F0082"/>
    <w:rsid w:val="003F1941"/>
    <w:rsid w:val="003F5D07"/>
    <w:rsid w:val="00400D8F"/>
    <w:rsid w:val="004025F0"/>
    <w:rsid w:val="0040545E"/>
    <w:rsid w:val="0040578A"/>
    <w:rsid w:val="004102DD"/>
    <w:rsid w:val="00411493"/>
    <w:rsid w:val="00411F54"/>
    <w:rsid w:val="00414A2E"/>
    <w:rsid w:val="00422220"/>
    <w:rsid w:val="0042302F"/>
    <w:rsid w:val="00424D66"/>
    <w:rsid w:val="00431E64"/>
    <w:rsid w:val="00441C52"/>
    <w:rsid w:val="00443898"/>
    <w:rsid w:val="00443A09"/>
    <w:rsid w:val="00444CF2"/>
    <w:rsid w:val="00447F49"/>
    <w:rsid w:val="004501DE"/>
    <w:rsid w:val="00450262"/>
    <w:rsid w:val="00450FC1"/>
    <w:rsid w:val="0045437F"/>
    <w:rsid w:val="00454CE4"/>
    <w:rsid w:val="0045666D"/>
    <w:rsid w:val="00456918"/>
    <w:rsid w:val="00464C59"/>
    <w:rsid w:val="00465216"/>
    <w:rsid w:val="00466FCA"/>
    <w:rsid w:val="0047107F"/>
    <w:rsid w:val="0047288C"/>
    <w:rsid w:val="00481904"/>
    <w:rsid w:val="00485A70"/>
    <w:rsid w:val="0048703B"/>
    <w:rsid w:val="0048766F"/>
    <w:rsid w:val="004919F2"/>
    <w:rsid w:val="00492EF4"/>
    <w:rsid w:val="004A2108"/>
    <w:rsid w:val="004A28F8"/>
    <w:rsid w:val="004A745D"/>
    <w:rsid w:val="004A7F0A"/>
    <w:rsid w:val="004B2402"/>
    <w:rsid w:val="004B2505"/>
    <w:rsid w:val="004B3453"/>
    <w:rsid w:val="004B4649"/>
    <w:rsid w:val="004B5333"/>
    <w:rsid w:val="004B7CBF"/>
    <w:rsid w:val="004C30F6"/>
    <w:rsid w:val="004C5890"/>
    <w:rsid w:val="004C617C"/>
    <w:rsid w:val="004C72F9"/>
    <w:rsid w:val="004D6CC1"/>
    <w:rsid w:val="004E4ACA"/>
    <w:rsid w:val="004E7175"/>
    <w:rsid w:val="004F404D"/>
    <w:rsid w:val="004F6FD4"/>
    <w:rsid w:val="005020B3"/>
    <w:rsid w:val="00503AF2"/>
    <w:rsid w:val="00507BF9"/>
    <w:rsid w:val="00511FA6"/>
    <w:rsid w:val="005209C8"/>
    <w:rsid w:val="0052160D"/>
    <w:rsid w:val="00524DC0"/>
    <w:rsid w:val="00527534"/>
    <w:rsid w:val="005411C1"/>
    <w:rsid w:val="005444DD"/>
    <w:rsid w:val="00547B01"/>
    <w:rsid w:val="00553AE4"/>
    <w:rsid w:val="00555099"/>
    <w:rsid w:val="00555BD1"/>
    <w:rsid w:val="00561B6A"/>
    <w:rsid w:val="0056500F"/>
    <w:rsid w:val="00565500"/>
    <w:rsid w:val="00570B5D"/>
    <w:rsid w:val="00570E7A"/>
    <w:rsid w:val="005737F0"/>
    <w:rsid w:val="00577552"/>
    <w:rsid w:val="00580814"/>
    <w:rsid w:val="00580C6B"/>
    <w:rsid w:val="005810F4"/>
    <w:rsid w:val="0058294F"/>
    <w:rsid w:val="00582EEE"/>
    <w:rsid w:val="005930CA"/>
    <w:rsid w:val="00594EF9"/>
    <w:rsid w:val="005972B8"/>
    <w:rsid w:val="005A21D0"/>
    <w:rsid w:val="005A233B"/>
    <w:rsid w:val="005B0E14"/>
    <w:rsid w:val="005C1A88"/>
    <w:rsid w:val="005C1DEC"/>
    <w:rsid w:val="005C5512"/>
    <w:rsid w:val="005C76C2"/>
    <w:rsid w:val="005D1F6A"/>
    <w:rsid w:val="005D2248"/>
    <w:rsid w:val="005D6C7E"/>
    <w:rsid w:val="005E0D3F"/>
    <w:rsid w:val="005E2548"/>
    <w:rsid w:val="005E4A79"/>
    <w:rsid w:val="005E7A23"/>
    <w:rsid w:val="005F23B7"/>
    <w:rsid w:val="005F2D0E"/>
    <w:rsid w:val="005F576C"/>
    <w:rsid w:val="005F5F80"/>
    <w:rsid w:val="005F6EA4"/>
    <w:rsid w:val="00602D84"/>
    <w:rsid w:val="00604E7E"/>
    <w:rsid w:val="00611B4C"/>
    <w:rsid w:val="0061465F"/>
    <w:rsid w:val="00614E35"/>
    <w:rsid w:val="00623191"/>
    <w:rsid w:val="006234B2"/>
    <w:rsid w:val="0062369F"/>
    <w:rsid w:val="0063679B"/>
    <w:rsid w:val="0064021B"/>
    <w:rsid w:val="006405A1"/>
    <w:rsid w:val="00642496"/>
    <w:rsid w:val="00643217"/>
    <w:rsid w:val="00646126"/>
    <w:rsid w:val="00654349"/>
    <w:rsid w:val="006546AE"/>
    <w:rsid w:val="006615B2"/>
    <w:rsid w:val="00662143"/>
    <w:rsid w:val="00662F2B"/>
    <w:rsid w:val="00666E95"/>
    <w:rsid w:val="0067570C"/>
    <w:rsid w:val="00675E57"/>
    <w:rsid w:val="00676184"/>
    <w:rsid w:val="00676B17"/>
    <w:rsid w:val="0068104A"/>
    <w:rsid w:val="006811A7"/>
    <w:rsid w:val="00681F34"/>
    <w:rsid w:val="0069152B"/>
    <w:rsid w:val="00692A86"/>
    <w:rsid w:val="006941F3"/>
    <w:rsid w:val="006949DF"/>
    <w:rsid w:val="006956C6"/>
    <w:rsid w:val="006A21F2"/>
    <w:rsid w:val="006A35DA"/>
    <w:rsid w:val="006A4A52"/>
    <w:rsid w:val="006A52C1"/>
    <w:rsid w:val="006A7156"/>
    <w:rsid w:val="006B0492"/>
    <w:rsid w:val="006B706A"/>
    <w:rsid w:val="006C0B00"/>
    <w:rsid w:val="006C25F2"/>
    <w:rsid w:val="006C73A1"/>
    <w:rsid w:val="006D0812"/>
    <w:rsid w:val="006D29BD"/>
    <w:rsid w:val="006D2EBD"/>
    <w:rsid w:val="006E0578"/>
    <w:rsid w:val="006E1DB1"/>
    <w:rsid w:val="006E2301"/>
    <w:rsid w:val="006E275C"/>
    <w:rsid w:val="006E3FD8"/>
    <w:rsid w:val="006E41A3"/>
    <w:rsid w:val="006E46B3"/>
    <w:rsid w:val="006E4B71"/>
    <w:rsid w:val="006E5F99"/>
    <w:rsid w:val="006E6570"/>
    <w:rsid w:val="006E69AB"/>
    <w:rsid w:val="006E6B3D"/>
    <w:rsid w:val="006F0743"/>
    <w:rsid w:val="006F69F9"/>
    <w:rsid w:val="00700CDA"/>
    <w:rsid w:val="007103DE"/>
    <w:rsid w:val="00714D0E"/>
    <w:rsid w:val="00717593"/>
    <w:rsid w:val="00721233"/>
    <w:rsid w:val="007247C1"/>
    <w:rsid w:val="00733C0D"/>
    <w:rsid w:val="00736C0C"/>
    <w:rsid w:val="007431F9"/>
    <w:rsid w:val="007468EE"/>
    <w:rsid w:val="00750000"/>
    <w:rsid w:val="0076344D"/>
    <w:rsid w:val="007671AC"/>
    <w:rsid w:val="00767CE8"/>
    <w:rsid w:val="00771E98"/>
    <w:rsid w:val="00772C9F"/>
    <w:rsid w:val="00772E02"/>
    <w:rsid w:val="00772F1D"/>
    <w:rsid w:val="00774D1A"/>
    <w:rsid w:val="0077772B"/>
    <w:rsid w:val="00777E4F"/>
    <w:rsid w:val="00784EEF"/>
    <w:rsid w:val="00791DB6"/>
    <w:rsid w:val="00792036"/>
    <w:rsid w:val="0079699D"/>
    <w:rsid w:val="007A1964"/>
    <w:rsid w:val="007A1EDF"/>
    <w:rsid w:val="007A2E54"/>
    <w:rsid w:val="007A7F03"/>
    <w:rsid w:val="007B28E7"/>
    <w:rsid w:val="007B65C2"/>
    <w:rsid w:val="007D0EE4"/>
    <w:rsid w:val="007D1546"/>
    <w:rsid w:val="007D708F"/>
    <w:rsid w:val="007E5AE7"/>
    <w:rsid w:val="007E767B"/>
    <w:rsid w:val="007F312C"/>
    <w:rsid w:val="007F418E"/>
    <w:rsid w:val="00800594"/>
    <w:rsid w:val="00805D53"/>
    <w:rsid w:val="00806587"/>
    <w:rsid w:val="00807F00"/>
    <w:rsid w:val="0081579A"/>
    <w:rsid w:val="00820252"/>
    <w:rsid w:val="00820ABC"/>
    <w:rsid w:val="00820D51"/>
    <w:rsid w:val="00822CA0"/>
    <w:rsid w:val="00825C5C"/>
    <w:rsid w:val="00827027"/>
    <w:rsid w:val="008325B0"/>
    <w:rsid w:val="00832D0C"/>
    <w:rsid w:val="008345F9"/>
    <w:rsid w:val="0084238D"/>
    <w:rsid w:val="00843AED"/>
    <w:rsid w:val="008441BA"/>
    <w:rsid w:val="00845ABB"/>
    <w:rsid w:val="008466A8"/>
    <w:rsid w:val="00846834"/>
    <w:rsid w:val="00854AFF"/>
    <w:rsid w:val="00854B80"/>
    <w:rsid w:val="00862007"/>
    <w:rsid w:val="00864CEB"/>
    <w:rsid w:val="00871619"/>
    <w:rsid w:val="00872A5D"/>
    <w:rsid w:val="00873CAE"/>
    <w:rsid w:val="00875681"/>
    <w:rsid w:val="00876F30"/>
    <w:rsid w:val="00881BFD"/>
    <w:rsid w:val="00883E3D"/>
    <w:rsid w:val="00885127"/>
    <w:rsid w:val="00885B05"/>
    <w:rsid w:val="0089252A"/>
    <w:rsid w:val="00892F1D"/>
    <w:rsid w:val="00892F23"/>
    <w:rsid w:val="008A4154"/>
    <w:rsid w:val="008A41ED"/>
    <w:rsid w:val="008A5C5E"/>
    <w:rsid w:val="008A6E4F"/>
    <w:rsid w:val="008A79F3"/>
    <w:rsid w:val="008A7D41"/>
    <w:rsid w:val="008B0A5E"/>
    <w:rsid w:val="008B314C"/>
    <w:rsid w:val="008C2401"/>
    <w:rsid w:val="008C30AC"/>
    <w:rsid w:val="008C3A48"/>
    <w:rsid w:val="008C3E7E"/>
    <w:rsid w:val="008C48CB"/>
    <w:rsid w:val="008C64BA"/>
    <w:rsid w:val="008D07D7"/>
    <w:rsid w:val="008D3524"/>
    <w:rsid w:val="008D5409"/>
    <w:rsid w:val="008D5681"/>
    <w:rsid w:val="008E536B"/>
    <w:rsid w:val="008E5A7D"/>
    <w:rsid w:val="008F34C2"/>
    <w:rsid w:val="008F45A5"/>
    <w:rsid w:val="008F5149"/>
    <w:rsid w:val="008F521D"/>
    <w:rsid w:val="008F6E8F"/>
    <w:rsid w:val="008F70C7"/>
    <w:rsid w:val="00900144"/>
    <w:rsid w:val="00900A58"/>
    <w:rsid w:val="00903E19"/>
    <w:rsid w:val="0090542B"/>
    <w:rsid w:val="0090558B"/>
    <w:rsid w:val="0090678D"/>
    <w:rsid w:val="00906DDA"/>
    <w:rsid w:val="0090748E"/>
    <w:rsid w:val="0091076F"/>
    <w:rsid w:val="00910AC8"/>
    <w:rsid w:val="00917D9C"/>
    <w:rsid w:val="00926BF6"/>
    <w:rsid w:val="009344EF"/>
    <w:rsid w:val="0093557D"/>
    <w:rsid w:val="00936BF7"/>
    <w:rsid w:val="009373F7"/>
    <w:rsid w:val="009460AD"/>
    <w:rsid w:val="009462CF"/>
    <w:rsid w:val="00947883"/>
    <w:rsid w:val="009611A1"/>
    <w:rsid w:val="00963F15"/>
    <w:rsid w:val="00966303"/>
    <w:rsid w:val="00966E32"/>
    <w:rsid w:val="00967B14"/>
    <w:rsid w:val="00970C60"/>
    <w:rsid w:val="00973629"/>
    <w:rsid w:val="00974516"/>
    <w:rsid w:val="00976CAF"/>
    <w:rsid w:val="00984493"/>
    <w:rsid w:val="00986CEE"/>
    <w:rsid w:val="009902D6"/>
    <w:rsid w:val="0099167E"/>
    <w:rsid w:val="009916C4"/>
    <w:rsid w:val="00994E88"/>
    <w:rsid w:val="00996001"/>
    <w:rsid w:val="009A25AD"/>
    <w:rsid w:val="009A266C"/>
    <w:rsid w:val="009B0EAE"/>
    <w:rsid w:val="009B3CDE"/>
    <w:rsid w:val="009B5613"/>
    <w:rsid w:val="009B6F20"/>
    <w:rsid w:val="009C1ED7"/>
    <w:rsid w:val="009C683D"/>
    <w:rsid w:val="009C6A95"/>
    <w:rsid w:val="009D2F09"/>
    <w:rsid w:val="009D3B68"/>
    <w:rsid w:val="009D4EA9"/>
    <w:rsid w:val="009E34A5"/>
    <w:rsid w:val="009F3894"/>
    <w:rsid w:val="009F4F5D"/>
    <w:rsid w:val="009F5294"/>
    <w:rsid w:val="00A01120"/>
    <w:rsid w:val="00A05BB1"/>
    <w:rsid w:val="00A0650F"/>
    <w:rsid w:val="00A073C4"/>
    <w:rsid w:val="00A1283A"/>
    <w:rsid w:val="00A14452"/>
    <w:rsid w:val="00A15282"/>
    <w:rsid w:val="00A20EC3"/>
    <w:rsid w:val="00A237BE"/>
    <w:rsid w:val="00A26DC5"/>
    <w:rsid w:val="00A2744C"/>
    <w:rsid w:val="00A31AF2"/>
    <w:rsid w:val="00A323FC"/>
    <w:rsid w:val="00A36257"/>
    <w:rsid w:val="00A410B6"/>
    <w:rsid w:val="00A41271"/>
    <w:rsid w:val="00A46B48"/>
    <w:rsid w:val="00A51616"/>
    <w:rsid w:val="00A569F4"/>
    <w:rsid w:val="00A5762C"/>
    <w:rsid w:val="00A672DD"/>
    <w:rsid w:val="00A71C8A"/>
    <w:rsid w:val="00A73D96"/>
    <w:rsid w:val="00A74C18"/>
    <w:rsid w:val="00A75946"/>
    <w:rsid w:val="00A76DD1"/>
    <w:rsid w:val="00A77A3C"/>
    <w:rsid w:val="00A84C4A"/>
    <w:rsid w:val="00A926A1"/>
    <w:rsid w:val="00A92BBA"/>
    <w:rsid w:val="00A95BAB"/>
    <w:rsid w:val="00AA1627"/>
    <w:rsid w:val="00AA1DA2"/>
    <w:rsid w:val="00AA37F9"/>
    <w:rsid w:val="00AA542C"/>
    <w:rsid w:val="00AA72F4"/>
    <w:rsid w:val="00AA7A81"/>
    <w:rsid w:val="00AB3B29"/>
    <w:rsid w:val="00AB44C0"/>
    <w:rsid w:val="00AB61C8"/>
    <w:rsid w:val="00AB695E"/>
    <w:rsid w:val="00AB70B3"/>
    <w:rsid w:val="00AC0882"/>
    <w:rsid w:val="00AC7113"/>
    <w:rsid w:val="00AD0ACF"/>
    <w:rsid w:val="00AD3A30"/>
    <w:rsid w:val="00AE1210"/>
    <w:rsid w:val="00AE5F4F"/>
    <w:rsid w:val="00AE68FE"/>
    <w:rsid w:val="00AF5119"/>
    <w:rsid w:val="00AF7670"/>
    <w:rsid w:val="00B00736"/>
    <w:rsid w:val="00B01AF1"/>
    <w:rsid w:val="00B11004"/>
    <w:rsid w:val="00B16384"/>
    <w:rsid w:val="00B17552"/>
    <w:rsid w:val="00B17731"/>
    <w:rsid w:val="00B17C41"/>
    <w:rsid w:val="00B216C1"/>
    <w:rsid w:val="00B231BB"/>
    <w:rsid w:val="00B26ED3"/>
    <w:rsid w:val="00B3095F"/>
    <w:rsid w:val="00B3188B"/>
    <w:rsid w:val="00B35EEB"/>
    <w:rsid w:val="00B41749"/>
    <w:rsid w:val="00B45C84"/>
    <w:rsid w:val="00B47E78"/>
    <w:rsid w:val="00B501A0"/>
    <w:rsid w:val="00B540FD"/>
    <w:rsid w:val="00B55328"/>
    <w:rsid w:val="00B55879"/>
    <w:rsid w:val="00B5688C"/>
    <w:rsid w:val="00B56AD9"/>
    <w:rsid w:val="00B60E91"/>
    <w:rsid w:val="00B636C6"/>
    <w:rsid w:val="00B64CAE"/>
    <w:rsid w:val="00B65DC4"/>
    <w:rsid w:val="00B719EE"/>
    <w:rsid w:val="00B7679B"/>
    <w:rsid w:val="00B8266F"/>
    <w:rsid w:val="00B83D00"/>
    <w:rsid w:val="00B908E9"/>
    <w:rsid w:val="00B92DD0"/>
    <w:rsid w:val="00B93107"/>
    <w:rsid w:val="00B939D5"/>
    <w:rsid w:val="00B94575"/>
    <w:rsid w:val="00B95CAA"/>
    <w:rsid w:val="00B97672"/>
    <w:rsid w:val="00BA4046"/>
    <w:rsid w:val="00BB175F"/>
    <w:rsid w:val="00BB6563"/>
    <w:rsid w:val="00BB7954"/>
    <w:rsid w:val="00BC0A73"/>
    <w:rsid w:val="00BC1E4E"/>
    <w:rsid w:val="00BC351D"/>
    <w:rsid w:val="00BD57C4"/>
    <w:rsid w:val="00BD5C5D"/>
    <w:rsid w:val="00BE021C"/>
    <w:rsid w:val="00BE3C33"/>
    <w:rsid w:val="00BE6C41"/>
    <w:rsid w:val="00BF37E5"/>
    <w:rsid w:val="00C11999"/>
    <w:rsid w:val="00C12F56"/>
    <w:rsid w:val="00C144E2"/>
    <w:rsid w:val="00C17092"/>
    <w:rsid w:val="00C17721"/>
    <w:rsid w:val="00C2361E"/>
    <w:rsid w:val="00C31D8B"/>
    <w:rsid w:val="00C34B6A"/>
    <w:rsid w:val="00C3545B"/>
    <w:rsid w:val="00C3594E"/>
    <w:rsid w:val="00C37D0A"/>
    <w:rsid w:val="00C443B4"/>
    <w:rsid w:val="00C47611"/>
    <w:rsid w:val="00C501C9"/>
    <w:rsid w:val="00C550ED"/>
    <w:rsid w:val="00C56AB7"/>
    <w:rsid w:val="00C57B62"/>
    <w:rsid w:val="00C647B8"/>
    <w:rsid w:val="00C65CD8"/>
    <w:rsid w:val="00C67B48"/>
    <w:rsid w:val="00C712F8"/>
    <w:rsid w:val="00C7549A"/>
    <w:rsid w:val="00C75E31"/>
    <w:rsid w:val="00C818C0"/>
    <w:rsid w:val="00C8353F"/>
    <w:rsid w:val="00C93415"/>
    <w:rsid w:val="00C955E7"/>
    <w:rsid w:val="00CA0DF8"/>
    <w:rsid w:val="00CA573B"/>
    <w:rsid w:val="00CA7290"/>
    <w:rsid w:val="00CC4886"/>
    <w:rsid w:val="00CC6C08"/>
    <w:rsid w:val="00CC7ACE"/>
    <w:rsid w:val="00CD0F31"/>
    <w:rsid w:val="00CD2055"/>
    <w:rsid w:val="00CD2AE7"/>
    <w:rsid w:val="00CD3AC4"/>
    <w:rsid w:val="00CD3C75"/>
    <w:rsid w:val="00CE5910"/>
    <w:rsid w:val="00CF12BA"/>
    <w:rsid w:val="00CF22DC"/>
    <w:rsid w:val="00CF237D"/>
    <w:rsid w:val="00CF5D4E"/>
    <w:rsid w:val="00D008C4"/>
    <w:rsid w:val="00D02AD1"/>
    <w:rsid w:val="00D129F5"/>
    <w:rsid w:val="00D15A4B"/>
    <w:rsid w:val="00D1686C"/>
    <w:rsid w:val="00D17417"/>
    <w:rsid w:val="00D20C85"/>
    <w:rsid w:val="00D21BB3"/>
    <w:rsid w:val="00D21EA3"/>
    <w:rsid w:val="00D25220"/>
    <w:rsid w:val="00D322F1"/>
    <w:rsid w:val="00D333C3"/>
    <w:rsid w:val="00D363A5"/>
    <w:rsid w:val="00D3640C"/>
    <w:rsid w:val="00D3755D"/>
    <w:rsid w:val="00D37CEE"/>
    <w:rsid w:val="00D414B4"/>
    <w:rsid w:val="00D444EA"/>
    <w:rsid w:val="00D46672"/>
    <w:rsid w:val="00D504B8"/>
    <w:rsid w:val="00D516BF"/>
    <w:rsid w:val="00D554DB"/>
    <w:rsid w:val="00D603EF"/>
    <w:rsid w:val="00D60827"/>
    <w:rsid w:val="00D620C5"/>
    <w:rsid w:val="00D6576D"/>
    <w:rsid w:val="00D67D8B"/>
    <w:rsid w:val="00D71D49"/>
    <w:rsid w:val="00D73509"/>
    <w:rsid w:val="00D73D72"/>
    <w:rsid w:val="00D74D94"/>
    <w:rsid w:val="00D819EF"/>
    <w:rsid w:val="00D81B7E"/>
    <w:rsid w:val="00D85E18"/>
    <w:rsid w:val="00D8675F"/>
    <w:rsid w:val="00D92EB5"/>
    <w:rsid w:val="00D9309C"/>
    <w:rsid w:val="00D93AB2"/>
    <w:rsid w:val="00D95BCE"/>
    <w:rsid w:val="00DA2853"/>
    <w:rsid w:val="00DA5C30"/>
    <w:rsid w:val="00DA6D9B"/>
    <w:rsid w:val="00DB018C"/>
    <w:rsid w:val="00DB103C"/>
    <w:rsid w:val="00DB3365"/>
    <w:rsid w:val="00DD1E22"/>
    <w:rsid w:val="00DD5477"/>
    <w:rsid w:val="00DE180D"/>
    <w:rsid w:val="00DE3116"/>
    <w:rsid w:val="00DE45C6"/>
    <w:rsid w:val="00DE4CD4"/>
    <w:rsid w:val="00DE54BC"/>
    <w:rsid w:val="00DF5ED8"/>
    <w:rsid w:val="00DF658A"/>
    <w:rsid w:val="00E05DD9"/>
    <w:rsid w:val="00E0656C"/>
    <w:rsid w:val="00E0747E"/>
    <w:rsid w:val="00E120B0"/>
    <w:rsid w:val="00E13552"/>
    <w:rsid w:val="00E14A33"/>
    <w:rsid w:val="00E1677E"/>
    <w:rsid w:val="00E20E5F"/>
    <w:rsid w:val="00E245FD"/>
    <w:rsid w:val="00E31131"/>
    <w:rsid w:val="00E34FBD"/>
    <w:rsid w:val="00E36A6A"/>
    <w:rsid w:val="00E419C8"/>
    <w:rsid w:val="00E4414F"/>
    <w:rsid w:val="00E467E7"/>
    <w:rsid w:val="00E471DE"/>
    <w:rsid w:val="00E51219"/>
    <w:rsid w:val="00E559CC"/>
    <w:rsid w:val="00E56FED"/>
    <w:rsid w:val="00E57001"/>
    <w:rsid w:val="00E6132A"/>
    <w:rsid w:val="00E64CCD"/>
    <w:rsid w:val="00E70A85"/>
    <w:rsid w:val="00E70E7A"/>
    <w:rsid w:val="00E71F85"/>
    <w:rsid w:val="00E759FE"/>
    <w:rsid w:val="00E76A22"/>
    <w:rsid w:val="00E801AE"/>
    <w:rsid w:val="00E80D4B"/>
    <w:rsid w:val="00E8158F"/>
    <w:rsid w:val="00E85F44"/>
    <w:rsid w:val="00E86B6F"/>
    <w:rsid w:val="00E91C92"/>
    <w:rsid w:val="00E92BD6"/>
    <w:rsid w:val="00EA0373"/>
    <w:rsid w:val="00EA0E80"/>
    <w:rsid w:val="00EA22E1"/>
    <w:rsid w:val="00EA29B6"/>
    <w:rsid w:val="00EA38D0"/>
    <w:rsid w:val="00EA49D9"/>
    <w:rsid w:val="00EB2399"/>
    <w:rsid w:val="00EB33B3"/>
    <w:rsid w:val="00EB646E"/>
    <w:rsid w:val="00EC0469"/>
    <w:rsid w:val="00EC16D8"/>
    <w:rsid w:val="00EC2685"/>
    <w:rsid w:val="00EC3167"/>
    <w:rsid w:val="00EC416B"/>
    <w:rsid w:val="00EC5D03"/>
    <w:rsid w:val="00EC6986"/>
    <w:rsid w:val="00ED2D29"/>
    <w:rsid w:val="00ED5D6F"/>
    <w:rsid w:val="00ED5E3A"/>
    <w:rsid w:val="00ED635F"/>
    <w:rsid w:val="00ED72A4"/>
    <w:rsid w:val="00EE23EF"/>
    <w:rsid w:val="00EE2C99"/>
    <w:rsid w:val="00EE577F"/>
    <w:rsid w:val="00EF2CC8"/>
    <w:rsid w:val="00EF3DD5"/>
    <w:rsid w:val="00EF4873"/>
    <w:rsid w:val="00EF4BC7"/>
    <w:rsid w:val="00EF5A37"/>
    <w:rsid w:val="00F01F94"/>
    <w:rsid w:val="00F03152"/>
    <w:rsid w:val="00F046C8"/>
    <w:rsid w:val="00F04C33"/>
    <w:rsid w:val="00F060D8"/>
    <w:rsid w:val="00F06DBE"/>
    <w:rsid w:val="00F12A3B"/>
    <w:rsid w:val="00F12EEB"/>
    <w:rsid w:val="00F23846"/>
    <w:rsid w:val="00F25121"/>
    <w:rsid w:val="00F3030F"/>
    <w:rsid w:val="00F306D1"/>
    <w:rsid w:val="00F33BDB"/>
    <w:rsid w:val="00F3404B"/>
    <w:rsid w:val="00F35534"/>
    <w:rsid w:val="00F40BA5"/>
    <w:rsid w:val="00F43A09"/>
    <w:rsid w:val="00F45A41"/>
    <w:rsid w:val="00F46C27"/>
    <w:rsid w:val="00F4774F"/>
    <w:rsid w:val="00F47CEB"/>
    <w:rsid w:val="00F47E3C"/>
    <w:rsid w:val="00F51B8E"/>
    <w:rsid w:val="00F54EB6"/>
    <w:rsid w:val="00F60A77"/>
    <w:rsid w:val="00F6300B"/>
    <w:rsid w:val="00F66A17"/>
    <w:rsid w:val="00F70265"/>
    <w:rsid w:val="00F76828"/>
    <w:rsid w:val="00F77F6F"/>
    <w:rsid w:val="00F842B5"/>
    <w:rsid w:val="00F87A3B"/>
    <w:rsid w:val="00F92D41"/>
    <w:rsid w:val="00F940CD"/>
    <w:rsid w:val="00FA321B"/>
    <w:rsid w:val="00FA44FE"/>
    <w:rsid w:val="00FA6321"/>
    <w:rsid w:val="00FA6F4E"/>
    <w:rsid w:val="00FB2882"/>
    <w:rsid w:val="00FB7226"/>
    <w:rsid w:val="00FC05E1"/>
    <w:rsid w:val="00FC1C29"/>
    <w:rsid w:val="00FC2EDE"/>
    <w:rsid w:val="00FC315E"/>
    <w:rsid w:val="00FC3933"/>
    <w:rsid w:val="00FC741B"/>
    <w:rsid w:val="00FD3237"/>
    <w:rsid w:val="00FD4C70"/>
    <w:rsid w:val="00FD6008"/>
    <w:rsid w:val="00FE1F1A"/>
    <w:rsid w:val="00FE482E"/>
    <w:rsid w:val="00FE5856"/>
    <w:rsid w:val="00FE7AB2"/>
    <w:rsid w:val="00FF4A79"/>
    <w:rsid w:val="00FF61C6"/>
    <w:rsid w:val="00FF63E8"/>
    <w:rsid w:val="00FF7A3B"/>
    <w:rsid w:val="01971479"/>
    <w:rsid w:val="024B5B93"/>
    <w:rsid w:val="02E62896"/>
    <w:rsid w:val="03674520"/>
    <w:rsid w:val="054E45D0"/>
    <w:rsid w:val="068A3F8A"/>
    <w:rsid w:val="07301BA7"/>
    <w:rsid w:val="07464C86"/>
    <w:rsid w:val="08AA3563"/>
    <w:rsid w:val="0AD817D3"/>
    <w:rsid w:val="0ADB1417"/>
    <w:rsid w:val="0B47388A"/>
    <w:rsid w:val="0B8F071B"/>
    <w:rsid w:val="0CC84F00"/>
    <w:rsid w:val="0D284485"/>
    <w:rsid w:val="0DFB7BF1"/>
    <w:rsid w:val="0E07191C"/>
    <w:rsid w:val="0E664CC8"/>
    <w:rsid w:val="0FE07E44"/>
    <w:rsid w:val="1028678C"/>
    <w:rsid w:val="13815F22"/>
    <w:rsid w:val="13CA02D1"/>
    <w:rsid w:val="142C660D"/>
    <w:rsid w:val="142E4F2C"/>
    <w:rsid w:val="168E1E93"/>
    <w:rsid w:val="16B52D18"/>
    <w:rsid w:val="17060E74"/>
    <w:rsid w:val="1843223E"/>
    <w:rsid w:val="196B2083"/>
    <w:rsid w:val="1AE84622"/>
    <w:rsid w:val="1DE451D6"/>
    <w:rsid w:val="1E3A4F08"/>
    <w:rsid w:val="1E5E1006"/>
    <w:rsid w:val="1E880E3D"/>
    <w:rsid w:val="21346FAF"/>
    <w:rsid w:val="23CF6946"/>
    <w:rsid w:val="23E7160C"/>
    <w:rsid w:val="24F4688C"/>
    <w:rsid w:val="26625716"/>
    <w:rsid w:val="271C5710"/>
    <w:rsid w:val="277737CE"/>
    <w:rsid w:val="28F767AA"/>
    <w:rsid w:val="2AE45E6E"/>
    <w:rsid w:val="2CF36BC8"/>
    <w:rsid w:val="2DBB3128"/>
    <w:rsid w:val="305D62D5"/>
    <w:rsid w:val="30C55911"/>
    <w:rsid w:val="30ED4006"/>
    <w:rsid w:val="325C674F"/>
    <w:rsid w:val="33AA58F4"/>
    <w:rsid w:val="34AA43E3"/>
    <w:rsid w:val="34AF68AC"/>
    <w:rsid w:val="35085B40"/>
    <w:rsid w:val="35512113"/>
    <w:rsid w:val="37DF96F0"/>
    <w:rsid w:val="37F513AC"/>
    <w:rsid w:val="37FF68EB"/>
    <w:rsid w:val="39597D9C"/>
    <w:rsid w:val="3B272D41"/>
    <w:rsid w:val="3B847F14"/>
    <w:rsid w:val="3D5B4639"/>
    <w:rsid w:val="3D611107"/>
    <w:rsid w:val="3D9301C3"/>
    <w:rsid w:val="3DA03EDE"/>
    <w:rsid w:val="3E1D51B4"/>
    <w:rsid w:val="3F8B731A"/>
    <w:rsid w:val="3FE94D93"/>
    <w:rsid w:val="3FEF90DC"/>
    <w:rsid w:val="3FF9B84A"/>
    <w:rsid w:val="401B4927"/>
    <w:rsid w:val="41530B05"/>
    <w:rsid w:val="41FC2710"/>
    <w:rsid w:val="42BD4B29"/>
    <w:rsid w:val="43123E7E"/>
    <w:rsid w:val="433052D3"/>
    <w:rsid w:val="4401613B"/>
    <w:rsid w:val="44571EB8"/>
    <w:rsid w:val="44D41452"/>
    <w:rsid w:val="44EC7292"/>
    <w:rsid w:val="47BC79FE"/>
    <w:rsid w:val="487F7FC6"/>
    <w:rsid w:val="4A374B03"/>
    <w:rsid w:val="4C1D5FF9"/>
    <w:rsid w:val="4C2D705E"/>
    <w:rsid w:val="4C3102C0"/>
    <w:rsid w:val="4C823B27"/>
    <w:rsid w:val="4D361439"/>
    <w:rsid w:val="4DF91001"/>
    <w:rsid w:val="51934781"/>
    <w:rsid w:val="51CD3A24"/>
    <w:rsid w:val="531349F2"/>
    <w:rsid w:val="53AA3ECA"/>
    <w:rsid w:val="54307B62"/>
    <w:rsid w:val="546B683A"/>
    <w:rsid w:val="554C48BA"/>
    <w:rsid w:val="598C4E5C"/>
    <w:rsid w:val="5A1A1C40"/>
    <w:rsid w:val="5A3D0B68"/>
    <w:rsid w:val="5A551FF8"/>
    <w:rsid w:val="5A6A2327"/>
    <w:rsid w:val="5D9676A3"/>
    <w:rsid w:val="5E547991"/>
    <w:rsid w:val="5FF13CF0"/>
    <w:rsid w:val="60A206E9"/>
    <w:rsid w:val="60C30BA9"/>
    <w:rsid w:val="61144336"/>
    <w:rsid w:val="613D4B1B"/>
    <w:rsid w:val="627F6F68"/>
    <w:rsid w:val="62877837"/>
    <w:rsid w:val="64511A30"/>
    <w:rsid w:val="64BF0283"/>
    <w:rsid w:val="673161DD"/>
    <w:rsid w:val="67CD3566"/>
    <w:rsid w:val="67D5508F"/>
    <w:rsid w:val="694E344B"/>
    <w:rsid w:val="6D427BC2"/>
    <w:rsid w:val="6D4A2757"/>
    <w:rsid w:val="6E4D2FFA"/>
    <w:rsid w:val="6E706720"/>
    <w:rsid w:val="705C2520"/>
    <w:rsid w:val="70F30AEC"/>
    <w:rsid w:val="71A46822"/>
    <w:rsid w:val="7219777D"/>
    <w:rsid w:val="72BF1E7C"/>
    <w:rsid w:val="72DC6B3C"/>
    <w:rsid w:val="738660F9"/>
    <w:rsid w:val="755A0C11"/>
    <w:rsid w:val="755F4A49"/>
    <w:rsid w:val="759C6384"/>
    <w:rsid w:val="77D1B941"/>
    <w:rsid w:val="797D3C6D"/>
    <w:rsid w:val="7CCFA244"/>
    <w:rsid w:val="7D6C1041"/>
    <w:rsid w:val="7EC476BD"/>
    <w:rsid w:val="7FDF3DFD"/>
    <w:rsid w:val="A45F1AD5"/>
    <w:rsid w:val="CAD7470D"/>
    <w:rsid w:val="D7FF0232"/>
    <w:rsid w:val="DF572739"/>
    <w:rsid w:val="DF5D7777"/>
    <w:rsid w:val="DFEE06B1"/>
    <w:rsid w:val="DFFB7418"/>
    <w:rsid w:val="EFEF54B9"/>
    <w:rsid w:val="FB7FE3CA"/>
    <w:rsid w:val="FBF780E4"/>
    <w:rsid w:val="FFC38B2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unhideWhenUsed/>
    <w:qFormat/>
    <w:uiPriority w:val="99"/>
    <w:pPr>
      <w:spacing w:after="120"/>
    </w:pPr>
    <w:rPr>
      <w:rFonts w:ascii="Times New Roman" w:hAnsi="Times New Roman" w:eastAsia="宋体" w:cs="Times New Roman"/>
      <w:szCs w:val="21"/>
    </w:rPr>
  </w:style>
  <w:style w:type="paragraph" w:styleId="5">
    <w:name w:val="annotation text"/>
    <w:basedOn w:val="1"/>
    <w:link w:val="20"/>
    <w:unhideWhenUsed/>
    <w:qFormat/>
    <w:uiPriority w:val="99"/>
    <w:pPr>
      <w:jc w:val="left"/>
    </w:pPr>
  </w:style>
  <w:style w:type="paragraph" w:styleId="6">
    <w:name w:val="Balloon Text"/>
    <w:basedOn w:val="1"/>
    <w:link w:val="17"/>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annotation subject"/>
    <w:basedOn w:val="5"/>
    <w:next w:val="5"/>
    <w:link w:val="21"/>
    <w:unhideWhenUsed/>
    <w:qFormat/>
    <w:uiPriority w:val="99"/>
    <w:rPr>
      <w:b/>
      <w:bCs/>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styleId="16">
    <w:name w:val="annotation reference"/>
    <w:basedOn w:val="14"/>
    <w:unhideWhenUsed/>
    <w:qFormat/>
    <w:uiPriority w:val="99"/>
    <w:rPr>
      <w:sz w:val="21"/>
      <w:szCs w:val="21"/>
    </w:rPr>
  </w:style>
  <w:style w:type="character" w:customStyle="1" w:styleId="17">
    <w:name w:val="批注框文本 字符"/>
    <w:basedOn w:val="14"/>
    <w:link w:val="6"/>
    <w:semiHidden/>
    <w:qFormat/>
    <w:uiPriority w:val="99"/>
    <w:rPr>
      <w:sz w:val="18"/>
      <w:szCs w:val="18"/>
    </w:rPr>
  </w:style>
  <w:style w:type="character" w:customStyle="1" w:styleId="18">
    <w:name w:val="页眉 字符"/>
    <w:basedOn w:val="14"/>
    <w:link w:val="8"/>
    <w:qFormat/>
    <w:uiPriority w:val="99"/>
    <w:rPr>
      <w:sz w:val="18"/>
      <w:szCs w:val="18"/>
    </w:rPr>
  </w:style>
  <w:style w:type="character" w:customStyle="1" w:styleId="19">
    <w:name w:val="页脚 字符"/>
    <w:basedOn w:val="14"/>
    <w:link w:val="7"/>
    <w:qFormat/>
    <w:uiPriority w:val="99"/>
    <w:rPr>
      <w:sz w:val="18"/>
      <w:szCs w:val="18"/>
    </w:rPr>
  </w:style>
  <w:style w:type="character" w:customStyle="1" w:styleId="20">
    <w:name w:val="批注文字 字符"/>
    <w:basedOn w:val="14"/>
    <w:link w:val="5"/>
    <w:semiHidden/>
    <w:qFormat/>
    <w:uiPriority w:val="99"/>
  </w:style>
  <w:style w:type="character" w:customStyle="1" w:styleId="21">
    <w:name w:val="批注主题 字符"/>
    <w:basedOn w:val="20"/>
    <w:link w:val="11"/>
    <w:semiHidden/>
    <w:qFormat/>
    <w:uiPriority w:val="99"/>
    <w:rPr>
      <w:b/>
      <w:bCs/>
    </w:rPr>
  </w:style>
  <w:style w:type="character" w:customStyle="1" w:styleId="22">
    <w:name w:val="正文文本 字符"/>
    <w:basedOn w:val="14"/>
    <w:link w:val="2"/>
    <w:qFormat/>
    <w:uiPriority w:val="99"/>
    <w:rPr>
      <w:rFonts w:ascii="Times New Roman" w:hAnsi="Times New Roman" w:eastAsia="宋体" w:cs="Times New Roman"/>
      <w:szCs w:val="21"/>
    </w:rPr>
  </w:style>
  <w:style w:type="paragraph" w:customStyle="1" w:styleId="23">
    <w:name w:val="正文内容"/>
    <w:basedOn w:val="1"/>
    <w:link w:val="24"/>
    <w:qFormat/>
    <w:uiPriority w:val="0"/>
    <w:pPr>
      <w:spacing w:line="580" w:lineRule="exact"/>
      <w:ind w:firstLine="880" w:firstLineChars="200"/>
    </w:pPr>
    <w:rPr>
      <w:rFonts w:ascii="Times New Roman" w:hAnsi="Times New Roman" w:eastAsia="仿宋_GB2312"/>
      <w:sz w:val="32"/>
      <w:szCs w:val="32"/>
    </w:rPr>
  </w:style>
  <w:style w:type="character" w:customStyle="1" w:styleId="24">
    <w:name w:val="正文内容 Char"/>
    <w:link w:val="23"/>
    <w:qFormat/>
    <w:uiPriority w:val="0"/>
    <w:rPr>
      <w:rFonts w:ascii="Times New Roman" w:hAnsi="Times New Roman" w:eastAsia="仿宋_GB2312"/>
      <w:sz w:val="32"/>
      <w:szCs w:val="32"/>
    </w:rPr>
  </w:style>
  <w:style w:type="character" w:customStyle="1" w:styleId="25">
    <w:name w:val="标题 1 字符"/>
    <w:basedOn w:val="14"/>
    <w:link w:val="3"/>
    <w:qFormat/>
    <w:uiPriority w:val="9"/>
    <w:rPr>
      <w:b/>
      <w:bCs/>
      <w:kern w:val="44"/>
      <w:sz w:val="44"/>
      <w:szCs w:val="44"/>
    </w:rPr>
  </w:style>
  <w:style w:type="character" w:customStyle="1" w:styleId="26">
    <w:name w:val="标题 2 字符"/>
    <w:basedOn w:val="14"/>
    <w:link w:val="4"/>
    <w:qFormat/>
    <w:uiPriority w:val="9"/>
    <w:rPr>
      <w:rFonts w:asciiTheme="majorHAnsi" w:hAnsiTheme="majorHAnsi" w:eastAsiaTheme="majorEastAsia" w:cstheme="majorBidi"/>
      <w:b/>
      <w:bCs/>
      <w:sz w:val="32"/>
      <w:szCs w:val="32"/>
    </w:rPr>
  </w:style>
  <w:style w:type="paragraph" w:customStyle="1" w:styleId="27">
    <w:name w:val="表格模板"/>
    <w:basedOn w:val="1"/>
    <w:qFormat/>
    <w:uiPriority w:val="0"/>
    <w:pPr>
      <w:adjustRightInd w:val="0"/>
      <w:snapToGrid w:val="0"/>
      <w:ind w:firstLine="640" w:firstLineChars="200"/>
    </w:pPr>
    <w:rPr>
      <w:rFonts w:ascii="Times New Roman" w:hAnsi="Times New Roman" w:eastAsia="仿宋_GB2312"/>
      <w:sz w:val="24"/>
    </w:rPr>
  </w:style>
  <w:style w:type="paragraph" w:customStyle="1" w:styleId="28">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38</Pages>
  <Words>21427</Words>
  <Characters>21841</Characters>
  <Lines>174</Lines>
  <Paragraphs>49</Paragraphs>
  <TotalTime>1395</TotalTime>
  <ScaleCrop>false</ScaleCrop>
  <LinksUpToDate>false</LinksUpToDate>
  <CharactersWithSpaces>21970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2021-08-28T17:37:00Z</dcterms:created>
  <dc:creator>User</dc:creator>
  <cp:lastModifiedBy>Icarus</cp:lastModifiedBy>
  <cp:lastPrinted>2021-11-18T02:20:00Z</cp:lastPrinted>
  <dcterms:modified xsi:type="dcterms:W3CDTF">2023-05-23T08:06:51Z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35F8A819181A4C878E308C89DA180BB2</vt:lpwstr>
  </property>
  <property fmtid="{D5CDD505-2E9C-101B-9397-08002B2CF9AE}" pid="4" name="woTemplateTypoMode" linkTarget="0">
    <vt:lpwstr>web</vt:lpwstr>
  </property>
  <property fmtid="{D5CDD505-2E9C-101B-9397-08002B2CF9AE}" pid="5" name="woTemplate" linkTarget="0">
    <vt:i4>1</vt:i4>
  </property>
</Properties>
</file>