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3" w:firstLineChars="200"/>
        <w:rPr>
          <w:rFonts w:hint="eastAsia" w:asciiTheme="minorEastAsia" w:hAnsiTheme="minorEastAsia" w:eastAsiaTheme="minorEastAsia" w:cstheme="minorEastAsia"/>
          <w:b/>
          <w:bCs/>
          <w:sz w:val="44"/>
          <w:szCs w:val="44"/>
        </w:rPr>
      </w:pPr>
      <w:bookmarkStart w:id="23" w:name="_GoBack"/>
      <w:bookmarkEnd w:id="23"/>
      <w:r>
        <w:rPr>
          <w:rFonts w:hint="eastAsia" w:asciiTheme="minorEastAsia" w:hAnsiTheme="minorEastAsia" w:eastAsiaTheme="minorEastAsia" w:cstheme="minorEastAsia"/>
          <w:b/>
          <w:bCs/>
          <w:sz w:val="44"/>
          <w:szCs w:val="44"/>
          <w:lang w:val="en"/>
        </w:rPr>
        <w:t>2</w:t>
      </w:r>
      <w:r>
        <w:rPr>
          <w:rFonts w:hint="eastAsia" w:asciiTheme="minorEastAsia" w:hAnsiTheme="minorEastAsia" w:eastAsiaTheme="minorEastAsia" w:cstheme="minorEastAsia"/>
          <w:b/>
          <w:bCs/>
          <w:sz w:val="44"/>
          <w:szCs w:val="44"/>
        </w:rPr>
        <w:t>016-2020年莲都民间融资服务中心</w:t>
      </w:r>
    </w:p>
    <w:p>
      <w:pPr>
        <w:spacing w:line="560" w:lineRule="exact"/>
        <w:ind w:firstLine="1988" w:firstLineChars="450"/>
        <w:rPr>
          <w:rFonts w:hint="eastAsia" w:asciiTheme="minorEastAsia" w:hAnsiTheme="minorEastAsia" w:eastAsiaTheme="minorEastAsia" w:cstheme="minorEastAsia"/>
          <w:b/>
          <w:bCs/>
          <w:kern w:val="0"/>
          <w:sz w:val="44"/>
          <w:szCs w:val="44"/>
          <w:lang w:val="en"/>
        </w:rPr>
      </w:pPr>
      <w:r>
        <w:rPr>
          <w:rFonts w:hint="eastAsia" w:asciiTheme="minorEastAsia" w:hAnsiTheme="minorEastAsia" w:eastAsiaTheme="minorEastAsia" w:cstheme="minorEastAsia"/>
          <w:b/>
          <w:bCs/>
          <w:sz w:val="44"/>
          <w:szCs w:val="44"/>
        </w:rPr>
        <w:t>扶持政策</w:t>
      </w:r>
      <w:r>
        <w:rPr>
          <w:rFonts w:hint="eastAsia" w:asciiTheme="minorEastAsia" w:hAnsiTheme="minorEastAsia" w:eastAsiaTheme="minorEastAsia" w:cstheme="minorEastAsia"/>
          <w:b/>
          <w:bCs/>
          <w:sz w:val="44"/>
          <w:szCs w:val="44"/>
          <w:lang w:val="en"/>
        </w:rPr>
        <w:t>绩效评价报告</w:t>
      </w:r>
    </w:p>
    <w:p>
      <w:pPr>
        <w:spacing w:line="540" w:lineRule="exact"/>
        <w:ind w:firstLine="560"/>
        <w:rPr>
          <w:rFonts w:hint="eastAsia" w:ascii="仿宋_GB2312" w:hAnsi="仿宋_GB2312" w:eastAsia="仿宋_GB2312" w:cs="仿宋_GB2312"/>
          <w:sz w:val="28"/>
          <w:szCs w:val="28"/>
        </w:rPr>
      </w:pPr>
    </w:p>
    <w:p>
      <w:pPr>
        <w:spacing w:line="560" w:lineRule="exact"/>
        <w:ind w:left="-153" w:leftChars="-73" w:right="-27" w:rightChars="-13" w:firstLine="560" w:firstLineChars="200"/>
        <w:rPr>
          <w:rFonts w:ascii="仿宋" w:hAnsi="仿宋" w:eastAsia="仿宋"/>
          <w:sz w:val="28"/>
          <w:szCs w:val="28"/>
        </w:rPr>
      </w:pPr>
      <w:r>
        <w:rPr>
          <w:rFonts w:hint="eastAsia" w:ascii="仿宋" w:hAnsi="仿宋" w:eastAsia="仿宋"/>
          <w:sz w:val="28"/>
          <w:szCs w:val="28"/>
        </w:rPr>
        <w:t>为全面实施市直部门预算绩效管理，加快建成全方位、全过程、全覆盖的预算绩效管理体系，不断提高财政资源配置效率和使用效益，根据《中共丽水市委、丽水市人民政府关于全面实施预算绩效管理的若干意见》（丽委发〔2019〕24号）的相关规定，按照《丽水市财政局关于开展202</w:t>
      </w:r>
      <w:r>
        <w:rPr>
          <w:rFonts w:ascii="仿宋" w:hAnsi="仿宋" w:eastAsia="仿宋"/>
          <w:sz w:val="28"/>
          <w:szCs w:val="28"/>
        </w:rPr>
        <w:t>1</w:t>
      </w:r>
      <w:r>
        <w:rPr>
          <w:rFonts w:hint="eastAsia" w:ascii="仿宋" w:hAnsi="仿宋" w:eastAsia="仿宋"/>
          <w:sz w:val="28"/>
          <w:szCs w:val="28"/>
        </w:rPr>
        <w:t>年市直财政重点绩效评价工作的通知》(丽财监督〔2021〕57号）要求，受丽水市财政局的委托，我公司成立评价组，对20</w:t>
      </w:r>
      <w:r>
        <w:rPr>
          <w:rFonts w:ascii="仿宋" w:hAnsi="仿宋" w:eastAsia="仿宋"/>
          <w:sz w:val="28"/>
          <w:szCs w:val="28"/>
        </w:rPr>
        <w:t>15</w:t>
      </w:r>
      <w:r>
        <w:rPr>
          <w:rFonts w:hint="eastAsia" w:ascii="仿宋" w:hAnsi="仿宋" w:eastAsia="仿宋"/>
          <w:sz w:val="28"/>
          <w:szCs w:val="28"/>
        </w:rPr>
        <w:t>-</w:t>
      </w:r>
      <w:r>
        <w:rPr>
          <w:rFonts w:ascii="仿宋" w:hAnsi="仿宋" w:eastAsia="仿宋"/>
          <w:sz w:val="28"/>
          <w:szCs w:val="28"/>
        </w:rPr>
        <w:t>2019</w:t>
      </w:r>
      <w:r>
        <w:rPr>
          <w:rFonts w:hint="eastAsia" w:ascii="仿宋" w:hAnsi="仿宋" w:eastAsia="仿宋"/>
          <w:sz w:val="28"/>
          <w:szCs w:val="28"/>
        </w:rPr>
        <w:t>年莲都民间融资服务中心（以下简称莲都民融中心）扶持政策进行绩效评价。评价小组通过核查资金使用情况、民融业务数据采集、访谈、调研座谈、问卷调查等方法对该政策开展了绩效评价，现将评价情况报告如下：</w:t>
      </w:r>
    </w:p>
    <w:p>
      <w:pPr>
        <w:pStyle w:val="6"/>
        <w:numPr>
          <w:ilvl w:val="0"/>
          <w:numId w:val="1"/>
        </w:numPr>
        <w:spacing w:line="560" w:lineRule="exact"/>
        <w:ind w:firstLineChars="0"/>
        <w:rPr>
          <w:rFonts w:ascii="仿宋" w:hAnsi="仿宋" w:eastAsia="仿宋"/>
          <w:b/>
          <w:sz w:val="28"/>
          <w:szCs w:val="28"/>
        </w:rPr>
      </w:pPr>
      <w:r>
        <w:rPr>
          <w:rFonts w:hint="eastAsia" w:ascii="仿宋" w:hAnsi="仿宋" w:eastAsia="仿宋"/>
          <w:b/>
          <w:sz w:val="28"/>
          <w:szCs w:val="28"/>
        </w:rPr>
        <w:t>政策背景</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根据</w:t>
      </w:r>
      <w:bookmarkStart w:id="0" w:name="_Hlk77115498"/>
      <w:r>
        <w:rPr>
          <w:rFonts w:hint="eastAsia" w:ascii="仿宋" w:hAnsi="仿宋" w:eastAsia="仿宋"/>
          <w:sz w:val="28"/>
          <w:szCs w:val="28"/>
        </w:rPr>
        <w:t>《丽水市人民政府办公室关于丽水市开展民间融资服务中心试点工作的实施意见》（丽政办发明电〔</w:t>
      </w:r>
      <w:r>
        <w:rPr>
          <w:rFonts w:ascii="仿宋" w:hAnsi="仿宋" w:eastAsia="仿宋"/>
          <w:sz w:val="28"/>
          <w:szCs w:val="28"/>
        </w:rPr>
        <w:t>2014〕83号）</w:t>
      </w:r>
      <w:r>
        <w:rPr>
          <w:rFonts w:hint="eastAsia" w:ascii="仿宋" w:hAnsi="仿宋" w:eastAsia="仿宋"/>
          <w:sz w:val="28"/>
          <w:szCs w:val="28"/>
        </w:rPr>
        <w:t>、《丽水市金融业扶持专项资金管理办法》（丽财企〔</w:t>
      </w:r>
      <w:r>
        <w:rPr>
          <w:rFonts w:ascii="仿宋" w:hAnsi="仿宋" w:eastAsia="仿宋"/>
          <w:sz w:val="28"/>
          <w:szCs w:val="28"/>
        </w:rPr>
        <w:t>2017〕224号）</w:t>
      </w:r>
      <w:r>
        <w:rPr>
          <w:rFonts w:hint="eastAsia" w:ascii="仿宋" w:hAnsi="仿宋" w:eastAsia="仿宋"/>
          <w:sz w:val="28"/>
          <w:szCs w:val="28"/>
        </w:rPr>
        <w:t>等文件规定</w:t>
      </w:r>
      <w:bookmarkEnd w:id="0"/>
      <w:r>
        <w:rPr>
          <w:rFonts w:hint="eastAsia" w:ascii="仿宋" w:hAnsi="仿宋" w:eastAsia="仿宋"/>
          <w:sz w:val="28"/>
          <w:szCs w:val="28"/>
        </w:rPr>
        <w:t>，莲都民间融资服务中心扶持政策专项资金，由市财政预算统筹安排，主要用于引导民间融资服务中心自设立之日起</w:t>
      </w:r>
      <w:r>
        <w:rPr>
          <w:rFonts w:ascii="仿宋" w:hAnsi="仿宋" w:eastAsia="仿宋"/>
          <w:sz w:val="28"/>
          <w:szCs w:val="28"/>
        </w:rPr>
        <w:t>5年内按其缴纳的所得税、营业税（增值税）地方留成部分全额予以补助。</w:t>
      </w:r>
      <w:r>
        <w:rPr>
          <w:rFonts w:hint="eastAsia" w:ascii="仿宋" w:hAnsi="仿宋" w:eastAsia="仿宋"/>
          <w:sz w:val="28"/>
          <w:szCs w:val="28"/>
        </w:rPr>
        <w:t>由莲都民融向金融办提交上年度补助申请及附属材料，并对真实性作出承诺；经市发改委信用中心审核企业是否被列入负面清单管理，是否符合补助资格和条件；市金融办对申请对象的资格和申报材料进行审核，根据税收完税证明，按照现行税制规定测算（企业所得税地方留成比例为</w:t>
      </w:r>
      <w:r>
        <w:rPr>
          <w:rFonts w:ascii="仿宋" w:hAnsi="仿宋" w:eastAsia="仿宋"/>
          <w:sz w:val="28"/>
          <w:szCs w:val="28"/>
        </w:rPr>
        <w:t>32%，增值税地方留成比例为40%）补助。民融补助资金情况</w:t>
      </w:r>
      <w:r>
        <w:rPr>
          <w:rFonts w:hint="eastAsia" w:ascii="仿宋" w:hAnsi="仿宋" w:eastAsia="仿宋"/>
          <w:sz w:val="28"/>
          <w:szCs w:val="28"/>
        </w:rPr>
        <w:t>由市金融办对申报材料进行审核，并经市金融办主任办公会议审核通过后出具初审意见，报市财政局复核，复核完成后市金融办将审核结果进行公示，经公示无异议后，由市财政局报市政府审批。审批通过后市金融办会同市财政局联合发文予以资金拨付下达。莲都民融中心成立于</w:t>
      </w:r>
      <w:r>
        <w:rPr>
          <w:rFonts w:ascii="仿宋" w:hAnsi="仿宋" w:eastAsia="仿宋"/>
          <w:sz w:val="28"/>
          <w:szCs w:val="28"/>
        </w:rPr>
        <w:t>2014年12月30日，按规定补助年度为2015年度-2019年度，共兑付870.13万元，其中，2015-2019年度分别兑付85.61万元、146.59万元、173.51万元、206.93万元、257.49万元</w:t>
      </w:r>
      <w:r>
        <w:rPr>
          <w:rFonts w:hint="eastAsia" w:ascii="仿宋" w:hAnsi="仿宋" w:eastAsia="仿宋"/>
          <w:sz w:val="28"/>
          <w:szCs w:val="28"/>
        </w:rPr>
        <w:t>。</w:t>
      </w:r>
    </w:p>
    <w:p>
      <w:pPr>
        <w:numPr>
          <w:ilvl w:val="0"/>
          <w:numId w:val="1"/>
        </w:numPr>
        <w:spacing w:line="560" w:lineRule="exact"/>
        <w:rPr>
          <w:rFonts w:ascii="仿宋" w:hAnsi="仿宋" w:eastAsia="仿宋"/>
          <w:b/>
          <w:sz w:val="28"/>
          <w:szCs w:val="28"/>
        </w:rPr>
      </w:pPr>
      <w:r>
        <w:rPr>
          <w:rFonts w:hint="eastAsia" w:ascii="仿宋" w:hAnsi="仿宋" w:eastAsia="仿宋"/>
          <w:b/>
          <w:sz w:val="28"/>
          <w:szCs w:val="28"/>
        </w:rPr>
        <w:t>政策</w:t>
      </w:r>
      <w:r>
        <w:rPr>
          <w:rFonts w:ascii="仿宋" w:hAnsi="仿宋" w:eastAsia="仿宋"/>
          <w:b/>
          <w:sz w:val="28"/>
          <w:szCs w:val="28"/>
        </w:rPr>
        <w:t>的执行情况</w:t>
      </w:r>
    </w:p>
    <w:p>
      <w:pPr>
        <w:spacing w:line="560" w:lineRule="exact"/>
        <w:rPr>
          <w:rFonts w:ascii="仿宋" w:hAnsi="仿宋" w:eastAsia="仿宋"/>
          <w:sz w:val="28"/>
          <w:szCs w:val="28"/>
        </w:rPr>
      </w:pPr>
      <w:r>
        <w:rPr>
          <w:rFonts w:hint="eastAsia" w:ascii="仿宋" w:hAnsi="仿宋" w:eastAsia="仿宋"/>
          <w:b/>
          <w:sz w:val="28"/>
          <w:szCs w:val="28"/>
        </w:rPr>
        <w:t xml:space="preserve">    </w:t>
      </w:r>
      <w:r>
        <w:rPr>
          <w:rFonts w:hint="eastAsia" w:ascii="仿宋" w:hAnsi="仿宋" w:eastAsia="仿宋"/>
          <w:sz w:val="28"/>
          <w:szCs w:val="28"/>
        </w:rPr>
        <w:t>莲都民融中心成立于2</w:t>
      </w:r>
      <w:r>
        <w:rPr>
          <w:rFonts w:ascii="仿宋" w:hAnsi="仿宋" w:eastAsia="仿宋"/>
          <w:sz w:val="28"/>
          <w:szCs w:val="28"/>
        </w:rPr>
        <w:t>014</w:t>
      </w:r>
      <w:r>
        <w:rPr>
          <w:rFonts w:hint="eastAsia" w:ascii="仿宋" w:hAnsi="仿宋" w:eastAsia="仿宋"/>
          <w:sz w:val="28"/>
          <w:szCs w:val="28"/>
        </w:rPr>
        <w:t>年1</w:t>
      </w:r>
      <w:r>
        <w:rPr>
          <w:rFonts w:ascii="仿宋" w:hAnsi="仿宋" w:eastAsia="仿宋"/>
          <w:sz w:val="28"/>
          <w:szCs w:val="28"/>
        </w:rPr>
        <w:t>2</w:t>
      </w:r>
      <w:r>
        <w:rPr>
          <w:rFonts w:hint="eastAsia" w:ascii="仿宋" w:hAnsi="仿宋" w:eastAsia="仿宋"/>
          <w:sz w:val="28"/>
          <w:szCs w:val="28"/>
        </w:rPr>
        <w:t>月3</w:t>
      </w:r>
      <w:r>
        <w:rPr>
          <w:rFonts w:ascii="仿宋" w:hAnsi="仿宋" w:eastAsia="仿宋"/>
          <w:sz w:val="28"/>
          <w:szCs w:val="28"/>
        </w:rPr>
        <w:t>0</w:t>
      </w:r>
      <w:r>
        <w:rPr>
          <w:rFonts w:hint="eastAsia" w:ascii="仿宋" w:hAnsi="仿宋" w:eastAsia="仿宋"/>
          <w:sz w:val="28"/>
          <w:szCs w:val="28"/>
        </w:rPr>
        <w:t>日，自成立以来始终坚持“规范民间融资、服务小微企业发展”的经营理念，在服务实体经济、促进城乡居民增收、缓解小微企业融资难和民间资金投资难上取得了积极作用。其中：</w:t>
      </w:r>
    </w:p>
    <w:p>
      <w:pPr>
        <w:spacing w:line="560" w:lineRule="exact"/>
        <w:ind w:firstLine="548" w:firstLineChars="196"/>
        <w:rPr>
          <w:rFonts w:ascii="仿宋" w:hAnsi="仿宋" w:eastAsia="仿宋"/>
          <w:sz w:val="28"/>
          <w:szCs w:val="28"/>
        </w:rPr>
      </w:pPr>
      <w:r>
        <w:rPr>
          <w:rFonts w:ascii="仿宋" w:hAnsi="仿宋" w:eastAsia="仿宋"/>
          <w:sz w:val="28"/>
          <w:szCs w:val="28"/>
        </w:rPr>
        <w:t>1.委托投资业务。截至2020年底，累计接受委托投资1838笔，接收委托金额18.5亿元，为委托方创造了1.46亿元的收入。</w:t>
      </w:r>
    </w:p>
    <w:p>
      <w:pPr>
        <w:spacing w:line="560" w:lineRule="exact"/>
        <w:ind w:firstLine="548" w:firstLineChars="196"/>
        <w:rPr>
          <w:rFonts w:hint="eastAsia" w:ascii="仿宋" w:hAnsi="仿宋" w:eastAsia="仿宋"/>
          <w:sz w:val="28"/>
          <w:szCs w:val="28"/>
        </w:rPr>
      </w:pPr>
      <w:r>
        <w:rPr>
          <w:rFonts w:ascii="仿宋" w:hAnsi="仿宋" w:eastAsia="仿宋"/>
          <w:sz w:val="28"/>
          <w:szCs w:val="28"/>
        </w:rPr>
        <w:t>2.融资借款业务。截至2020年底，累计撮合借款业务2212笔，撮合金额69.04亿元</w:t>
      </w:r>
      <w:r>
        <w:rPr>
          <w:rFonts w:hint="eastAsia" w:ascii="仿宋" w:hAnsi="仿宋" w:eastAsia="仿宋"/>
          <w:sz w:val="28"/>
          <w:szCs w:val="28"/>
        </w:rPr>
        <w:t>,取得借款利息收入1</w:t>
      </w:r>
      <w:r>
        <w:rPr>
          <w:rFonts w:ascii="仿宋" w:hAnsi="仿宋" w:eastAsia="仿宋"/>
          <w:sz w:val="28"/>
          <w:szCs w:val="28"/>
        </w:rPr>
        <w:t>.74</w:t>
      </w:r>
      <w:r>
        <w:rPr>
          <w:rFonts w:hint="eastAsia" w:ascii="仿宋" w:hAnsi="仿宋" w:eastAsia="仿宋"/>
          <w:sz w:val="28"/>
          <w:szCs w:val="28"/>
        </w:rPr>
        <w:t>亿元。</w:t>
      </w:r>
    </w:p>
    <w:p>
      <w:pPr>
        <w:spacing w:line="560" w:lineRule="exact"/>
        <w:ind w:firstLine="548" w:firstLineChars="196"/>
        <w:rPr>
          <w:rFonts w:ascii="仿宋" w:hAnsi="仿宋" w:eastAsia="仿宋"/>
          <w:sz w:val="28"/>
          <w:szCs w:val="28"/>
        </w:rPr>
      </w:pPr>
      <w:r>
        <w:rPr>
          <w:rFonts w:ascii="仿宋" w:hAnsi="仿宋" w:eastAsia="仿宋"/>
          <w:sz w:val="28"/>
          <w:szCs w:val="28"/>
        </w:rPr>
        <w:t>3.缴纳税收。截至2020年底，累计缴纳税款3,534.74万元。</w:t>
      </w:r>
    </w:p>
    <w:p>
      <w:pPr>
        <w:spacing w:line="560" w:lineRule="exact"/>
        <w:ind w:firstLine="548" w:firstLineChars="196"/>
        <w:rPr>
          <w:rFonts w:ascii="仿宋" w:hAnsi="仿宋" w:eastAsia="仿宋"/>
          <w:sz w:val="28"/>
          <w:szCs w:val="28"/>
        </w:rPr>
      </w:pPr>
      <w:r>
        <w:rPr>
          <w:rFonts w:ascii="仿宋" w:hAnsi="仿宋" w:eastAsia="仿宋"/>
          <w:sz w:val="28"/>
          <w:szCs w:val="28"/>
        </w:rPr>
        <w:t>4.全力推广“转贷通”业务。为帮助企业及时续贷，缓解资金紧张压力，降低融资成本，莲都民融</w:t>
      </w:r>
      <w:r>
        <w:rPr>
          <w:rFonts w:hint="eastAsia" w:ascii="仿宋" w:hAnsi="仿宋" w:eastAsia="仿宋"/>
          <w:sz w:val="28"/>
          <w:szCs w:val="28"/>
        </w:rPr>
        <w:t>中心</w:t>
      </w:r>
      <w:r>
        <w:rPr>
          <w:rFonts w:ascii="仿宋" w:hAnsi="仿宋" w:eastAsia="仿宋"/>
          <w:sz w:val="28"/>
          <w:szCs w:val="28"/>
        </w:rPr>
        <w:t>全力推广“转贷通”业务。截至2020年底，累计完成转贷业务936笔，转贷金额39.86亿元，帮助333户企业节省1</w:t>
      </w:r>
      <w:r>
        <w:rPr>
          <w:rFonts w:hint="eastAsia" w:ascii="仿宋" w:hAnsi="仿宋" w:eastAsia="仿宋"/>
          <w:sz w:val="28"/>
          <w:szCs w:val="28"/>
        </w:rPr>
        <w:t>,</w:t>
      </w:r>
      <w:r>
        <w:rPr>
          <w:rFonts w:ascii="仿宋" w:hAnsi="仿宋" w:eastAsia="仿宋"/>
          <w:sz w:val="28"/>
          <w:szCs w:val="28"/>
        </w:rPr>
        <w:t>195.8万元转贷成本。</w:t>
      </w:r>
    </w:p>
    <w:p>
      <w:pPr>
        <w:spacing w:line="560" w:lineRule="exact"/>
        <w:ind w:firstLine="548" w:firstLineChars="196"/>
        <w:rPr>
          <w:rFonts w:ascii="仿宋" w:hAnsi="仿宋" w:eastAsia="仿宋"/>
          <w:sz w:val="28"/>
          <w:szCs w:val="28"/>
        </w:rPr>
      </w:pPr>
      <w:r>
        <w:rPr>
          <w:rFonts w:ascii="仿宋" w:hAnsi="仿宋" w:eastAsia="仿宋"/>
          <w:sz w:val="28"/>
          <w:szCs w:val="28"/>
        </w:rPr>
        <w:t>5.逾期资产。按照银保监会贷款五级分类标准统计，截至2020年底，公司不良</w:t>
      </w:r>
      <w:r>
        <w:rPr>
          <w:rFonts w:hint="eastAsia" w:ascii="仿宋" w:hAnsi="仿宋" w:eastAsia="仿宋"/>
          <w:sz w:val="28"/>
          <w:szCs w:val="28"/>
        </w:rPr>
        <w:t>贷款</w:t>
      </w:r>
      <w:r>
        <w:rPr>
          <w:rFonts w:ascii="仿宋" w:hAnsi="仿宋" w:eastAsia="仿宋"/>
          <w:sz w:val="28"/>
          <w:szCs w:val="28"/>
        </w:rPr>
        <w:t>率1.72%，2018年以</w:t>
      </w:r>
      <w:r>
        <w:rPr>
          <w:rFonts w:hint="eastAsia" w:ascii="仿宋" w:hAnsi="仿宋" w:eastAsia="仿宋"/>
          <w:sz w:val="28"/>
          <w:szCs w:val="28"/>
        </w:rPr>
        <w:t>后</w:t>
      </w:r>
      <w:r>
        <w:rPr>
          <w:rFonts w:ascii="仿宋" w:hAnsi="仿宋" w:eastAsia="仿宋"/>
          <w:sz w:val="28"/>
          <w:szCs w:val="28"/>
        </w:rPr>
        <w:t>无新发生不良贷款。累计计提风险准备金2,067.32万元，拨备覆盖率达194.66%。</w:t>
      </w:r>
    </w:p>
    <w:p>
      <w:pPr>
        <w:spacing w:line="560" w:lineRule="exact"/>
        <w:ind w:firstLine="548" w:firstLineChars="196"/>
        <w:rPr>
          <w:rFonts w:ascii="仿宋" w:hAnsi="仿宋" w:eastAsia="仿宋"/>
          <w:sz w:val="28"/>
          <w:szCs w:val="28"/>
        </w:rPr>
      </w:pPr>
      <w:r>
        <w:rPr>
          <w:rFonts w:ascii="仿宋" w:hAnsi="仿宋" w:eastAsia="仿宋"/>
          <w:sz w:val="28"/>
          <w:szCs w:val="28"/>
        </w:rPr>
        <w:t>6.提升服务水平。莲都民融</w:t>
      </w:r>
      <w:r>
        <w:rPr>
          <w:rFonts w:hint="eastAsia" w:ascii="仿宋" w:hAnsi="仿宋" w:eastAsia="仿宋"/>
          <w:sz w:val="28"/>
          <w:szCs w:val="28"/>
        </w:rPr>
        <w:t>中心</w:t>
      </w:r>
      <w:r>
        <w:rPr>
          <w:rFonts w:ascii="仿宋" w:hAnsi="仿宋" w:eastAsia="仿宋"/>
          <w:sz w:val="28"/>
          <w:szCs w:val="28"/>
        </w:rPr>
        <w:t>在丽水经济技术开发区行政服务中心设立服务窗口，并通过窗口将金融机构和地方金融组织整合起来，为客户提供“最多跑一次”的一站式服务，窗口设立以来共接受投融资咨询业务60多笔。同时，引进契约锁系统，增加线上签约功能，主要为海外华侨等不方便现场签约的法人客户提供了便利，成为丽水首家运用契约锁的地方金融组织。</w:t>
      </w:r>
    </w:p>
    <w:p>
      <w:pPr>
        <w:spacing w:line="560" w:lineRule="exact"/>
        <w:ind w:firstLine="548" w:firstLineChars="196"/>
        <w:rPr>
          <w:rFonts w:ascii="仿宋" w:hAnsi="仿宋" w:eastAsia="仿宋"/>
          <w:sz w:val="28"/>
          <w:szCs w:val="28"/>
        </w:rPr>
      </w:pPr>
      <w:r>
        <w:rPr>
          <w:rFonts w:ascii="仿宋" w:hAnsi="仿宋" w:eastAsia="仿宋"/>
          <w:sz w:val="28"/>
          <w:szCs w:val="28"/>
        </w:rPr>
        <w:t>7.积极履行社会责任。莲都民融</w:t>
      </w:r>
      <w:r>
        <w:rPr>
          <w:rFonts w:hint="eastAsia" w:ascii="仿宋" w:hAnsi="仿宋" w:eastAsia="仿宋"/>
          <w:sz w:val="28"/>
          <w:szCs w:val="28"/>
        </w:rPr>
        <w:t>中心</w:t>
      </w:r>
      <w:r>
        <w:rPr>
          <w:rFonts w:ascii="仿宋" w:hAnsi="仿宋" w:eastAsia="仿宋"/>
          <w:sz w:val="28"/>
          <w:szCs w:val="28"/>
        </w:rPr>
        <w:t>采购食品物资慰问一线抗疫的高速交警和医生护士；组织线上慈善拍卖活动，所得善款全部</w:t>
      </w:r>
      <w:r>
        <w:rPr>
          <w:rFonts w:hint="eastAsia" w:ascii="仿宋" w:hAnsi="仿宋" w:eastAsia="仿宋"/>
          <w:sz w:val="28"/>
          <w:szCs w:val="28"/>
        </w:rPr>
        <w:t>捐赠</w:t>
      </w:r>
      <w:r>
        <w:rPr>
          <w:rFonts w:ascii="仿宋" w:hAnsi="仿宋" w:eastAsia="仿宋"/>
          <w:sz w:val="28"/>
          <w:szCs w:val="28"/>
        </w:rPr>
        <w:t xml:space="preserve">丽水市光彩事业促进会用于防疫物资的购买；针对莲都区和开发区的企业和个人推出了3个亿的免息转贷活动，支持抗疫复工复产；积极参与东西部扶贫，随市政府考察团赴四川、青海开展金融捐赠活动。    </w:t>
      </w:r>
    </w:p>
    <w:p>
      <w:pPr>
        <w:spacing w:line="560" w:lineRule="exact"/>
        <w:ind w:firstLine="551" w:firstLineChars="196"/>
        <w:rPr>
          <w:rFonts w:ascii="仿宋" w:hAnsi="仿宋" w:eastAsia="仿宋"/>
          <w:b/>
          <w:sz w:val="28"/>
          <w:szCs w:val="28"/>
        </w:rPr>
      </w:pPr>
      <w:r>
        <w:rPr>
          <w:rFonts w:hint="eastAsia" w:ascii="仿宋" w:hAnsi="仿宋" w:eastAsia="仿宋"/>
          <w:b/>
          <w:sz w:val="28"/>
          <w:szCs w:val="28"/>
        </w:rPr>
        <w:t>（三）政策实施取得绩效</w:t>
      </w:r>
    </w:p>
    <w:p>
      <w:pPr>
        <w:spacing w:line="560" w:lineRule="exact"/>
        <w:ind w:firstLine="688" w:firstLineChars="246"/>
        <w:rPr>
          <w:rFonts w:hint="eastAsia" w:ascii="仿宋" w:hAnsi="仿宋" w:eastAsia="仿宋"/>
          <w:sz w:val="28"/>
          <w:szCs w:val="28"/>
        </w:rPr>
      </w:pPr>
      <w:r>
        <w:rPr>
          <w:rFonts w:ascii="仿宋" w:hAnsi="仿宋" w:eastAsia="仿宋"/>
          <w:sz w:val="28"/>
          <w:szCs w:val="28"/>
        </w:rPr>
        <w:t>1.政策兑现</w:t>
      </w:r>
      <w:r>
        <w:rPr>
          <w:rFonts w:hint="eastAsia" w:ascii="仿宋" w:hAnsi="仿宋" w:eastAsia="仿宋"/>
          <w:sz w:val="28"/>
          <w:szCs w:val="28"/>
        </w:rPr>
        <w:t>成效</w:t>
      </w:r>
      <w:bookmarkStart w:id="1" w:name="_Hlk78835347"/>
    </w:p>
    <w:p>
      <w:pPr>
        <w:spacing w:line="560" w:lineRule="exact"/>
        <w:ind w:firstLine="688" w:firstLineChars="246"/>
        <w:rPr>
          <w:rFonts w:hint="eastAsia" w:ascii="仿宋" w:hAnsi="仿宋" w:eastAsia="仿宋"/>
          <w:sz w:val="28"/>
          <w:szCs w:val="28"/>
        </w:rPr>
      </w:pPr>
      <w:r>
        <w:rPr>
          <w:rFonts w:ascii="仿宋" w:hAnsi="仿宋" w:eastAsia="仿宋"/>
          <w:sz w:val="28"/>
          <w:szCs w:val="28"/>
        </w:rPr>
        <w:t>根据《丽水市人民政府办公室关于丽水市开展民间融资服务中心试点工作的实施意见》（丽政办发明电〔2014〕83号）</w:t>
      </w:r>
      <w:bookmarkEnd w:id="1"/>
      <w:r>
        <w:rPr>
          <w:rFonts w:ascii="仿宋" w:hAnsi="仿宋" w:eastAsia="仿宋"/>
          <w:sz w:val="28"/>
          <w:szCs w:val="28"/>
        </w:rPr>
        <w:t>，为鼓励民营企业积极发起或参与民间融资服务中心的组建，鼓励民间资本通过阳光登记备案、规范操作，减少非法集资等非法金融活动，</w:t>
      </w:r>
      <w:bookmarkStart w:id="2" w:name="_Hlk78884067"/>
      <w:r>
        <w:rPr>
          <w:rFonts w:ascii="仿宋" w:hAnsi="仿宋" w:eastAsia="仿宋"/>
          <w:sz w:val="28"/>
          <w:szCs w:val="28"/>
        </w:rPr>
        <w:t>民间融资服务中心自设立之日起5年内按其缴纳的所得税、营业税（增值税）地方留成部分全额予以补助。</w:t>
      </w:r>
      <w:bookmarkStart w:id="3" w:name="_Hlk78837553"/>
      <w:r>
        <w:rPr>
          <w:rFonts w:ascii="仿宋" w:hAnsi="仿宋" w:eastAsia="仿宋"/>
          <w:sz w:val="28"/>
          <w:szCs w:val="28"/>
        </w:rPr>
        <w:t>2015年至2019年，莲都民融</w:t>
      </w:r>
      <w:r>
        <w:rPr>
          <w:rFonts w:hint="eastAsia" w:ascii="仿宋" w:hAnsi="仿宋" w:eastAsia="仿宋"/>
          <w:sz w:val="28"/>
          <w:szCs w:val="28"/>
        </w:rPr>
        <w:t>中心收到市</w:t>
      </w:r>
      <w:r>
        <w:rPr>
          <w:rFonts w:ascii="仿宋" w:hAnsi="仿宋" w:eastAsia="仿宋"/>
          <w:sz w:val="28"/>
          <w:szCs w:val="28"/>
        </w:rPr>
        <w:t>财</w:t>
      </w:r>
      <w:r>
        <w:rPr>
          <w:rFonts w:hint="eastAsia" w:ascii="仿宋" w:hAnsi="仿宋" w:eastAsia="仿宋"/>
          <w:sz w:val="28"/>
          <w:szCs w:val="28"/>
        </w:rPr>
        <w:t>政</w:t>
      </w:r>
      <w:r>
        <w:rPr>
          <w:rFonts w:ascii="仿宋" w:hAnsi="仿宋" w:eastAsia="仿宋"/>
          <w:sz w:val="28"/>
          <w:szCs w:val="28"/>
        </w:rPr>
        <w:t>激励扶持资金</w:t>
      </w:r>
      <w:r>
        <w:rPr>
          <w:rFonts w:hint="eastAsia" w:ascii="仿宋" w:hAnsi="仿宋" w:eastAsia="仿宋"/>
          <w:sz w:val="28"/>
          <w:szCs w:val="28"/>
        </w:rPr>
        <w:t>共计</w:t>
      </w:r>
      <w:r>
        <w:rPr>
          <w:rFonts w:ascii="仿宋" w:hAnsi="仿宋" w:eastAsia="仿宋"/>
          <w:sz w:val="28"/>
          <w:szCs w:val="28"/>
        </w:rPr>
        <w:t>870.16万元</w:t>
      </w:r>
      <w:r>
        <w:rPr>
          <w:rFonts w:hint="eastAsia" w:ascii="仿宋" w:hAnsi="仿宋" w:eastAsia="仿宋"/>
          <w:sz w:val="28"/>
          <w:szCs w:val="28"/>
        </w:rPr>
        <w:t>，</w:t>
      </w:r>
      <w:bookmarkEnd w:id="2"/>
      <w:r>
        <w:rPr>
          <w:rFonts w:hint="eastAsia" w:ascii="仿宋" w:hAnsi="仿宋" w:eastAsia="仿宋"/>
          <w:sz w:val="28"/>
          <w:szCs w:val="28"/>
        </w:rPr>
        <w:t>为莲都民融中心的起步发展垫定了良好的发展基础。</w:t>
      </w:r>
    </w:p>
    <w:bookmarkEnd w:id="3"/>
    <w:p>
      <w:pPr>
        <w:spacing w:line="560" w:lineRule="exact"/>
        <w:ind w:firstLine="548" w:firstLineChars="196"/>
        <w:rPr>
          <w:rFonts w:ascii="仿宋" w:hAnsi="仿宋" w:eastAsia="仿宋"/>
          <w:sz w:val="28"/>
          <w:szCs w:val="28"/>
        </w:rPr>
      </w:pPr>
      <w:r>
        <w:rPr>
          <w:rFonts w:ascii="仿宋" w:hAnsi="仿宋" w:eastAsia="仿宋"/>
          <w:sz w:val="28"/>
          <w:szCs w:val="28"/>
        </w:rPr>
        <w:t>2.财税激励成效</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1）提升公司风险抵抗能力。在地方财</w:t>
      </w:r>
      <w:r>
        <w:rPr>
          <w:rFonts w:hint="eastAsia" w:ascii="仿宋" w:hAnsi="仿宋" w:eastAsia="仿宋"/>
          <w:sz w:val="28"/>
          <w:szCs w:val="28"/>
        </w:rPr>
        <w:t>政</w:t>
      </w:r>
      <w:r>
        <w:rPr>
          <w:rFonts w:ascii="仿宋" w:hAnsi="仿宋" w:eastAsia="仿宋"/>
          <w:sz w:val="28"/>
          <w:szCs w:val="28"/>
        </w:rPr>
        <w:t>激励政策的大力支持下，莲都民融</w:t>
      </w:r>
      <w:r>
        <w:rPr>
          <w:rFonts w:hint="eastAsia" w:ascii="仿宋" w:hAnsi="仿宋" w:eastAsia="仿宋"/>
          <w:sz w:val="28"/>
          <w:szCs w:val="28"/>
        </w:rPr>
        <w:t>中心</w:t>
      </w:r>
      <w:r>
        <w:rPr>
          <w:rFonts w:ascii="仿宋" w:hAnsi="仿宋" w:eastAsia="仿宋"/>
          <w:sz w:val="28"/>
          <w:szCs w:val="28"/>
        </w:rPr>
        <w:t>的风险抵抗能力大大提升。作为银行等金融机构的有益补充，为当地小微企业和“三农”提供融资服务，全力支持小微企业和“三农”健康有序发展。</w:t>
      </w:r>
    </w:p>
    <w:p>
      <w:pPr>
        <w:spacing w:line="560" w:lineRule="exact"/>
        <w:ind w:firstLine="420" w:firstLineChars="15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2）降低客户融资成本。在政府的财</w:t>
      </w:r>
      <w:r>
        <w:rPr>
          <w:rFonts w:hint="eastAsia" w:ascii="仿宋" w:hAnsi="仿宋" w:eastAsia="仿宋"/>
          <w:sz w:val="28"/>
          <w:szCs w:val="28"/>
        </w:rPr>
        <w:t>政</w:t>
      </w:r>
      <w:r>
        <w:rPr>
          <w:rFonts w:ascii="仿宋" w:hAnsi="仿宋" w:eastAsia="仿宋"/>
          <w:sz w:val="28"/>
          <w:szCs w:val="28"/>
        </w:rPr>
        <w:t>激励政策的支持下，莲都民融</w:t>
      </w:r>
      <w:r>
        <w:rPr>
          <w:rFonts w:hint="eastAsia" w:ascii="仿宋" w:hAnsi="仿宋" w:eastAsia="仿宋"/>
          <w:sz w:val="28"/>
          <w:szCs w:val="28"/>
        </w:rPr>
        <w:t>中心</w:t>
      </w:r>
      <w:r>
        <w:rPr>
          <w:rFonts w:ascii="仿宋" w:hAnsi="仿宋" w:eastAsia="仿宋"/>
          <w:sz w:val="28"/>
          <w:szCs w:val="28"/>
        </w:rPr>
        <w:t>主动多次下调融资利率，降低客户融资成本。2020年7月至12月期间推出了每月免息限额3000万的活动；2021年3月推出了为期半个月的转贷3天免息和余值贷5天免息活动，将利率红利</w:t>
      </w:r>
      <w:r>
        <w:rPr>
          <w:rFonts w:hint="eastAsia" w:ascii="仿宋" w:hAnsi="仿宋" w:eastAsia="仿宋"/>
          <w:sz w:val="28"/>
          <w:szCs w:val="28"/>
          <w:lang w:eastAsia="zh-CN"/>
        </w:rPr>
        <w:t>落到实处</w:t>
      </w:r>
      <w:r>
        <w:rPr>
          <w:rFonts w:hint="eastAsia" w:ascii="仿宋" w:hAnsi="仿宋" w:eastAsia="仿宋"/>
          <w:sz w:val="28"/>
          <w:szCs w:val="28"/>
        </w:rPr>
        <w:t>。</w:t>
      </w:r>
      <w:r>
        <w:rPr>
          <w:rFonts w:ascii="仿宋" w:hAnsi="仿宋" w:eastAsia="仿宋"/>
          <w:sz w:val="28"/>
          <w:szCs w:val="28"/>
        </w:rPr>
        <w:t>此外，相对于社会上的转贷资金息费5天起收，莲都民融守法经营，按日计息，每年为民融转贷客户节省数百万融资成本</w:t>
      </w:r>
      <w:bookmarkStart w:id="4" w:name="_Hlk83502436"/>
      <w:r>
        <w:rPr>
          <w:rFonts w:ascii="仿宋" w:hAnsi="仿宋" w:eastAsia="仿宋"/>
          <w:sz w:val="28"/>
          <w:szCs w:val="28"/>
        </w:rPr>
        <w:t>。</w:t>
      </w:r>
      <w:bookmarkEnd w:id="4"/>
    </w:p>
    <w:p>
      <w:pPr>
        <w:spacing w:line="560" w:lineRule="exact"/>
        <w:ind w:firstLine="420" w:firstLineChars="15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3）增强</w:t>
      </w:r>
      <w:r>
        <w:rPr>
          <w:rFonts w:hint="eastAsia" w:ascii="仿宋" w:hAnsi="仿宋" w:eastAsia="仿宋"/>
          <w:sz w:val="28"/>
          <w:szCs w:val="28"/>
        </w:rPr>
        <w:t>了</w:t>
      </w:r>
      <w:r>
        <w:rPr>
          <w:rFonts w:ascii="仿宋" w:hAnsi="仿宋" w:eastAsia="仿宋"/>
          <w:sz w:val="28"/>
          <w:szCs w:val="28"/>
        </w:rPr>
        <w:t>社会公信力。政府财</w:t>
      </w:r>
      <w:r>
        <w:rPr>
          <w:rFonts w:hint="eastAsia" w:ascii="仿宋" w:hAnsi="仿宋" w:eastAsia="仿宋"/>
          <w:sz w:val="28"/>
          <w:szCs w:val="28"/>
        </w:rPr>
        <w:t>政</w:t>
      </w:r>
      <w:r>
        <w:rPr>
          <w:rFonts w:ascii="仿宋" w:hAnsi="仿宋" w:eastAsia="仿宋"/>
          <w:sz w:val="28"/>
          <w:szCs w:val="28"/>
        </w:rPr>
        <w:t>激励政策的支持，大大提高了莲都民融</w:t>
      </w:r>
      <w:r>
        <w:rPr>
          <w:rFonts w:hint="eastAsia" w:ascii="仿宋" w:hAnsi="仿宋" w:eastAsia="仿宋"/>
          <w:sz w:val="28"/>
          <w:szCs w:val="28"/>
        </w:rPr>
        <w:t>中心</w:t>
      </w:r>
      <w:r>
        <w:rPr>
          <w:rFonts w:ascii="仿宋" w:hAnsi="仿宋" w:eastAsia="仿宋"/>
          <w:sz w:val="28"/>
          <w:szCs w:val="28"/>
        </w:rPr>
        <w:t>的社会公信力，进一步提升了委托投资客户对莲都民融</w:t>
      </w:r>
      <w:r>
        <w:rPr>
          <w:rFonts w:hint="eastAsia" w:ascii="仿宋" w:hAnsi="仿宋" w:eastAsia="仿宋"/>
          <w:sz w:val="28"/>
          <w:szCs w:val="28"/>
        </w:rPr>
        <w:t>中心</w:t>
      </w:r>
      <w:r>
        <w:rPr>
          <w:rFonts w:ascii="仿宋" w:hAnsi="仿宋" w:eastAsia="仿宋"/>
          <w:sz w:val="28"/>
          <w:szCs w:val="28"/>
        </w:rPr>
        <w:t>的信任度，为莲都民融</w:t>
      </w:r>
      <w:r>
        <w:rPr>
          <w:rFonts w:hint="eastAsia" w:ascii="仿宋" w:hAnsi="仿宋" w:eastAsia="仿宋"/>
          <w:sz w:val="28"/>
          <w:szCs w:val="28"/>
        </w:rPr>
        <w:t>中心</w:t>
      </w:r>
      <w:r>
        <w:rPr>
          <w:rFonts w:ascii="仿宋" w:hAnsi="仿宋" w:eastAsia="仿宋"/>
          <w:sz w:val="28"/>
          <w:szCs w:val="28"/>
        </w:rPr>
        <w:t>撮合匹配业务打下了良好的基础。</w:t>
      </w:r>
    </w:p>
    <w:p>
      <w:pPr>
        <w:spacing w:line="560" w:lineRule="exact"/>
        <w:ind w:left="-153" w:leftChars="-73" w:right="-27" w:rightChars="-13" w:firstLine="579" w:firstLineChars="206"/>
        <w:rPr>
          <w:rFonts w:hint="eastAsia" w:ascii="仿宋" w:hAnsi="仿宋" w:eastAsia="仿宋" w:cs="仿宋_GB2312"/>
          <w:b/>
          <w:sz w:val="28"/>
          <w:szCs w:val="28"/>
        </w:rPr>
      </w:pPr>
      <w:r>
        <w:rPr>
          <w:rFonts w:hint="eastAsia" w:ascii="仿宋" w:hAnsi="仿宋" w:eastAsia="仿宋"/>
          <w:b/>
          <w:sz w:val="28"/>
          <w:szCs w:val="28"/>
        </w:rPr>
        <w:t>（四）</w:t>
      </w:r>
      <w:r>
        <w:rPr>
          <w:rFonts w:hint="eastAsia" w:ascii="仿宋" w:hAnsi="仿宋" w:eastAsia="仿宋" w:cs="仿宋_GB2312"/>
          <w:b/>
          <w:sz w:val="28"/>
          <w:szCs w:val="28"/>
        </w:rPr>
        <w:t>实地走访与问卷调查情况</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本次评价设计了</w:t>
      </w:r>
      <w:bookmarkStart w:id="5" w:name="_Hlk77105981"/>
      <w:r>
        <w:rPr>
          <w:rFonts w:hint="eastAsia" w:ascii="仿宋" w:hAnsi="仿宋" w:eastAsia="仿宋"/>
          <w:sz w:val="28"/>
          <w:szCs w:val="28"/>
        </w:rPr>
        <w:t>受益群众及受助企业</w:t>
      </w:r>
      <w:bookmarkEnd w:id="5"/>
      <w:r>
        <w:rPr>
          <w:rFonts w:hint="eastAsia" w:ascii="仿宋" w:hAnsi="仿宋" w:eastAsia="仿宋"/>
          <w:sz w:val="28"/>
          <w:szCs w:val="28"/>
        </w:rPr>
        <w:t>一份问卷，收回有效问卷</w:t>
      </w:r>
      <w:r>
        <w:rPr>
          <w:rFonts w:ascii="仿宋" w:hAnsi="仿宋" w:eastAsia="仿宋"/>
          <w:sz w:val="28"/>
          <w:szCs w:val="28"/>
        </w:rPr>
        <w:t>40份。从反馈情况看，</w:t>
      </w:r>
      <w:r>
        <w:rPr>
          <w:rFonts w:hint="eastAsia" w:ascii="仿宋" w:hAnsi="仿宋" w:eastAsia="仿宋"/>
          <w:sz w:val="28"/>
          <w:szCs w:val="28"/>
        </w:rPr>
        <w:t>总体</w:t>
      </w:r>
      <w:bookmarkStart w:id="6" w:name="_Hlk78813979"/>
      <w:r>
        <w:rPr>
          <w:rFonts w:hint="eastAsia" w:ascii="仿宋" w:hAnsi="仿宋" w:eastAsia="仿宋"/>
          <w:sz w:val="28"/>
          <w:szCs w:val="28"/>
        </w:rPr>
        <w:t>平均满意度为6</w:t>
      </w:r>
      <w:r>
        <w:rPr>
          <w:rFonts w:ascii="仿宋" w:hAnsi="仿宋" w:eastAsia="仿宋"/>
          <w:sz w:val="28"/>
          <w:szCs w:val="28"/>
        </w:rPr>
        <w:t>9.94%</w:t>
      </w:r>
      <w:bookmarkEnd w:id="6"/>
      <w:r>
        <w:rPr>
          <w:rFonts w:ascii="仿宋" w:hAnsi="仿宋" w:eastAsia="仿宋"/>
          <w:sz w:val="28"/>
          <w:szCs w:val="28"/>
        </w:rPr>
        <w:t>。对</w:t>
      </w:r>
      <w:r>
        <w:rPr>
          <w:rFonts w:hint="eastAsia" w:ascii="仿宋" w:hAnsi="仿宋" w:eastAsia="仿宋"/>
          <w:sz w:val="28"/>
          <w:szCs w:val="28"/>
        </w:rPr>
        <w:t>主要融资方式</w:t>
      </w:r>
      <w:r>
        <w:rPr>
          <w:rFonts w:ascii="仿宋" w:hAnsi="仿宋" w:eastAsia="仿宋"/>
          <w:sz w:val="28"/>
          <w:szCs w:val="28"/>
        </w:rPr>
        <w:t>的</w:t>
      </w:r>
      <w:bookmarkStart w:id="7" w:name="_Hlk78796681"/>
      <w:r>
        <w:rPr>
          <w:rFonts w:ascii="仿宋" w:hAnsi="仿宋" w:eastAsia="仿宋"/>
          <w:sz w:val="28"/>
          <w:szCs w:val="28"/>
        </w:rPr>
        <w:t>问</w:t>
      </w:r>
      <w:bookmarkStart w:id="8" w:name="_Hlk78796423"/>
      <w:r>
        <w:rPr>
          <w:rFonts w:ascii="仿宋" w:hAnsi="仿宋" w:eastAsia="仿宋"/>
          <w:sz w:val="28"/>
          <w:szCs w:val="28"/>
        </w:rPr>
        <w:t>卷中</w:t>
      </w:r>
      <w:bookmarkEnd w:id="7"/>
      <w:bookmarkEnd w:id="8"/>
      <w:r>
        <w:rPr>
          <w:rFonts w:ascii="仿宋" w:hAnsi="仿宋" w:eastAsia="仿宋"/>
          <w:sz w:val="28"/>
          <w:szCs w:val="28"/>
        </w:rPr>
        <w:t>，65%的</w:t>
      </w:r>
      <w:r>
        <w:rPr>
          <w:rFonts w:hint="eastAsia" w:ascii="仿宋" w:hAnsi="仿宋" w:eastAsia="仿宋"/>
          <w:sz w:val="28"/>
          <w:szCs w:val="28"/>
        </w:rPr>
        <w:t>人员采用专业银行信贷融资，1</w:t>
      </w:r>
      <w:r>
        <w:rPr>
          <w:rFonts w:ascii="仿宋" w:hAnsi="仿宋" w:eastAsia="仿宋"/>
          <w:sz w:val="28"/>
          <w:szCs w:val="28"/>
        </w:rPr>
        <w:t>7%</w:t>
      </w:r>
      <w:r>
        <w:rPr>
          <w:rFonts w:hint="eastAsia" w:ascii="仿宋" w:hAnsi="仿宋" w:eastAsia="仿宋"/>
          <w:sz w:val="28"/>
          <w:szCs w:val="28"/>
        </w:rPr>
        <w:t>的人员采用民融中心融资;对是否在莲都区民间融资服务中心办理过投资或融资业务的问卷中，4</w:t>
      </w:r>
      <w:r>
        <w:rPr>
          <w:rFonts w:ascii="仿宋" w:hAnsi="仿宋" w:eastAsia="仿宋"/>
          <w:sz w:val="28"/>
          <w:szCs w:val="28"/>
        </w:rPr>
        <w:t>8%</w:t>
      </w:r>
      <w:r>
        <w:rPr>
          <w:rFonts w:hint="eastAsia" w:ascii="仿宋" w:hAnsi="仿宋" w:eastAsia="仿宋"/>
          <w:sz w:val="28"/>
          <w:szCs w:val="28"/>
        </w:rPr>
        <w:t>的人选择办过业务，6</w:t>
      </w:r>
      <w:r>
        <w:rPr>
          <w:rFonts w:ascii="仿宋" w:hAnsi="仿宋" w:eastAsia="仿宋"/>
          <w:sz w:val="28"/>
          <w:szCs w:val="28"/>
        </w:rPr>
        <w:t>2%</w:t>
      </w:r>
      <w:r>
        <w:rPr>
          <w:rFonts w:hint="eastAsia" w:ascii="仿宋" w:hAnsi="仿宋" w:eastAsia="仿宋"/>
          <w:sz w:val="28"/>
          <w:szCs w:val="28"/>
        </w:rPr>
        <w:t>的人选择未办理过业务;</w:t>
      </w:r>
      <w:bookmarkStart w:id="9" w:name="_Hlk78796776"/>
      <w:r>
        <w:rPr>
          <w:rFonts w:hint="eastAsia" w:ascii="仿宋" w:hAnsi="仿宋" w:eastAsia="仿宋"/>
          <w:sz w:val="28"/>
          <w:szCs w:val="28"/>
        </w:rPr>
        <w:t>在对借款利率是否满意的问卷中，3</w:t>
      </w:r>
      <w:r>
        <w:rPr>
          <w:rFonts w:ascii="仿宋" w:hAnsi="仿宋" w:eastAsia="仿宋"/>
          <w:sz w:val="28"/>
          <w:szCs w:val="28"/>
        </w:rPr>
        <w:t>5%</w:t>
      </w:r>
      <w:r>
        <w:rPr>
          <w:rFonts w:hint="eastAsia" w:ascii="仿宋" w:hAnsi="仿宋" w:eastAsia="仿宋"/>
          <w:sz w:val="28"/>
          <w:szCs w:val="28"/>
        </w:rPr>
        <w:t>的人员表示满意，2</w:t>
      </w:r>
      <w:r>
        <w:rPr>
          <w:rFonts w:ascii="仿宋" w:hAnsi="仿宋" w:eastAsia="仿宋"/>
          <w:sz w:val="28"/>
          <w:szCs w:val="28"/>
        </w:rPr>
        <w:t>7%</w:t>
      </w:r>
      <w:r>
        <w:rPr>
          <w:rFonts w:hint="eastAsia" w:ascii="仿宋" w:hAnsi="仿宋" w:eastAsia="仿宋"/>
          <w:sz w:val="28"/>
          <w:szCs w:val="28"/>
        </w:rPr>
        <w:t>的人表示基本满意</w:t>
      </w:r>
      <w:bookmarkEnd w:id="9"/>
      <w:r>
        <w:rPr>
          <w:rFonts w:hint="eastAsia" w:ascii="仿宋" w:hAnsi="仿宋" w:eastAsia="仿宋"/>
          <w:sz w:val="28"/>
          <w:szCs w:val="28"/>
        </w:rPr>
        <w:t>;</w:t>
      </w:r>
      <w:r>
        <w:rPr>
          <w:rFonts w:hint="eastAsia"/>
        </w:rPr>
        <w:t xml:space="preserve"> </w:t>
      </w:r>
      <w:r>
        <w:rPr>
          <w:rFonts w:hint="eastAsia" w:ascii="仿宋" w:hAnsi="仿宋" w:eastAsia="仿宋"/>
          <w:sz w:val="28"/>
          <w:szCs w:val="28"/>
        </w:rPr>
        <w:t>在对融资借款手续是否满意的问卷中，</w:t>
      </w:r>
      <w:r>
        <w:rPr>
          <w:rFonts w:ascii="仿宋" w:hAnsi="仿宋" w:eastAsia="仿宋"/>
          <w:sz w:val="28"/>
          <w:szCs w:val="28"/>
        </w:rPr>
        <w:t>37%的人员表示满意，27%的人表</w:t>
      </w:r>
      <w:r>
        <w:rPr>
          <w:rFonts w:hint="eastAsia" w:ascii="仿宋" w:hAnsi="仿宋" w:eastAsia="仿宋"/>
          <w:sz w:val="28"/>
          <w:szCs w:val="28"/>
        </w:rPr>
        <w:t>示</w:t>
      </w:r>
      <w:r>
        <w:rPr>
          <w:rFonts w:ascii="仿宋" w:hAnsi="仿宋" w:eastAsia="仿宋"/>
          <w:sz w:val="28"/>
          <w:szCs w:val="28"/>
        </w:rPr>
        <w:t>基本满意</w:t>
      </w:r>
      <w:r>
        <w:rPr>
          <w:rFonts w:hint="eastAsia" w:ascii="仿宋" w:hAnsi="仿宋" w:eastAsia="仿宋"/>
          <w:sz w:val="28"/>
          <w:szCs w:val="28"/>
        </w:rPr>
        <w:t>。部分被调查对象的意见和建议：</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1）简化手续</w:t>
      </w:r>
      <w:r>
        <w:rPr>
          <w:rFonts w:hint="eastAsia" w:ascii="仿宋" w:hAnsi="仿宋" w:eastAsia="仿宋"/>
          <w:sz w:val="28"/>
          <w:szCs w:val="28"/>
        </w:rPr>
        <w:t>；</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2）加强服务工作，提高客户满意度</w:t>
      </w:r>
      <w:r>
        <w:rPr>
          <w:rFonts w:hint="eastAsia" w:ascii="仿宋" w:hAnsi="仿宋" w:eastAsia="仿宋"/>
          <w:sz w:val="28"/>
          <w:szCs w:val="28"/>
        </w:rPr>
        <w:t>；</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开展</w:t>
      </w:r>
      <w:r>
        <w:rPr>
          <w:rFonts w:ascii="仿宋" w:hAnsi="仿宋" w:eastAsia="仿宋"/>
          <w:sz w:val="28"/>
          <w:szCs w:val="28"/>
        </w:rPr>
        <w:t>转贷通业务，解决企业融资渠道的问题</w:t>
      </w:r>
      <w:r>
        <w:rPr>
          <w:rFonts w:hint="eastAsia" w:ascii="仿宋" w:hAnsi="仿宋" w:eastAsia="仿宋"/>
          <w:sz w:val="28"/>
          <w:szCs w:val="28"/>
        </w:rPr>
        <w:t>；</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提高</w:t>
      </w:r>
      <w:r>
        <w:rPr>
          <w:rFonts w:ascii="仿宋" w:hAnsi="仿宋" w:eastAsia="仿宋"/>
          <w:sz w:val="28"/>
          <w:szCs w:val="28"/>
        </w:rPr>
        <w:t>投资利率</w:t>
      </w:r>
      <w:r>
        <w:rPr>
          <w:rFonts w:hint="eastAsia" w:ascii="仿宋" w:hAnsi="仿宋" w:eastAsia="仿宋"/>
          <w:sz w:val="28"/>
          <w:szCs w:val="28"/>
        </w:rPr>
        <w:t>；</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5）阳光办事</w:t>
      </w:r>
      <w:r>
        <w:rPr>
          <w:rFonts w:hint="eastAsia" w:ascii="仿宋" w:hAnsi="仿宋" w:eastAsia="仿宋"/>
          <w:sz w:val="28"/>
          <w:szCs w:val="28"/>
        </w:rPr>
        <w:t>，提高透明度；</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w:t>
      </w:r>
      <w:r>
        <w:rPr>
          <w:rFonts w:ascii="仿宋" w:hAnsi="仿宋" w:eastAsia="仿宋"/>
          <w:sz w:val="28"/>
          <w:szCs w:val="28"/>
        </w:rPr>
        <w:t>6）提高融资灵活度，降低融资成本</w:t>
      </w:r>
      <w:r>
        <w:rPr>
          <w:rFonts w:hint="eastAsia" w:ascii="仿宋" w:hAnsi="仿宋" w:eastAsia="仿宋"/>
          <w:sz w:val="28"/>
          <w:szCs w:val="28"/>
        </w:rPr>
        <w:t>。</w:t>
      </w:r>
    </w:p>
    <w:p>
      <w:pPr>
        <w:spacing w:line="560" w:lineRule="exact"/>
        <w:ind w:firstLine="562" w:firstLineChars="200"/>
        <w:rPr>
          <w:rFonts w:hint="eastAsia" w:ascii="仿宋" w:hAnsi="仿宋" w:eastAsia="仿宋"/>
          <w:b/>
          <w:sz w:val="28"/>
          <w:szCs w:val="28"/>
        </w:rPr>
      </w:pPr>
      <w:r>
        <w:rPr>
          <w:rFonts w:hint="eastAsia" w:ascii="仿宋" w:hAnsi="仿宋" w:eastAsia="仿宋"/>
          <w:b/>
          <w:sz w:val="28"/>
          <w:szCs w:val="28"/>
        </w:rPr>
        <w:t xml:space="preserve">（五）绩效评价结论  </w:t>
      </w:r>
    </w:p>
    <w:p>
      <w:pPr>
        <w:autoSpaceDN w:val="0"/>
        <w:spacing w:line="560" w:lineRule="exact"/>
        <w:ind w:firstLine="560" w:firstLineChars="200"/>
        <w:jc w:val="left"/>
        <w:rPr>
          <w:rFonts w:ascii="仿宋" w:hAnsi="仿宋" w:eastAsia="仿宋"/>
          <w:sz w:val="28"/>
          <w:szCs w:val="28"/>
        </w:rPr>
      </w:pPr>
      <w:r>
        <w:rPr>
          <w:rFonts w:hint="eastAsia" w:ascii="仿宋" w:hAnsi="仿宋" w:eastAsia="仿宋"/>
          <w:sz w:val="28"/>
          <w:szCs w:val="28"/>
        </w:rPr>
        <w:t>综上所述，结合</w:t>
      </w:r>
      <w:bookmarkStart w:id="10" w:name="_Hlk77110295"/>
      <w:bookmarkStart w:id="11" w:name="_Hlk77091610"/>
      <w:r>
        <w:rPr>
          <w:rFonts w:hint="eastAsia" w:ascii="仿宋" w:hAnsi="仿宋" w:eastAsia="仿宋"/>
          <w:sz w:val="28"/>
          <w:szCs w:val="28"/>
        </w:rPr>
        <w:t>莲都民间融资服务中心专项资金扶持政策</w:t>
      </w:r>
      <w:bookmarkEnd w:id="10"/>
      <w:bookmarkEnd w:id="11"/>
      <w:r>
        <w:rPr>
          <w:rFonts w:ascii="仿宋" w:hAnsi="仿宋" w:eastAsia="仿宋"/>
          <w:sz w:val="28"/>
          <w:szCs w:val="28"/>
        </w:rPr>
        <w:t>实施情况</w:t>
      </w:r>
      <w:r>
        <w:rPr>
          <w:rFonts w:hint="eastAsia" w:ascii="仿宋" w:hAnsi="仿宋" w:eastAsia="仿宋"/>
          <w:sz w:val="28"/>
          <w:szCs w:val="28"/>
        </w:rPr>
        <w:t>，经项目评价组评议，本次政策评价的结论如下：</w:t>
      </w:r>
    </w:p>
    <w:p>
      <w:pPr>
        <w:pStyle w:val="3"/>
        <w:widowControl w:val="0"/>
        <w:tabs>
          <w:tab w:val="left" w:pos="1276"/>
          <w:tab w:val="left" w:pos="1418"/>
        </w:tabs>
        <w:autoSpaceDN w:val="0"/>
        <w:spacing w:before="0" w:beforeAutospacing="0" w:after="0" w:afterAutospacing="0" w:line="560" w:lineRule="exact"/>
        <w:ind w:firstLine="562" w:firstLineChars="200"/>
        <w:rPr>
          <w:rFonts w:hint="eastAsia" w:ascii="仿宋" w:hAnsi="仿宋" w:eastAsia="仿宋" w:cs="Times New Roman"/>
          <w:kern w:val="2"/>
          <w:sz w:val="28"/>
          <w:szCs w:val="28"/>
        </w:rPr>
      </w:pPr>
      <w:r>
        <w:rPr>
          <w:rFonts w:hint="eastAsia" w:ascii="仿宋" w:hAnsi="仿宋" w:eastAsia="仿宋" w:cs="Times New Roman"/>
          <w:b/>
          <w:kern w:val="2"/>
          <w:sz w:val="28"/>
          <w:szCs w:val="28"/>
        </w:rPr>
        <w:t>1.</w:t>
      </w:r>
      <w:bookmarkStart w:id="12" w:name="_Hlk76906749"/>
      <w:r>
        <w:rPr>
          <w:rFonts w:hint="eastAsia" w:ascii="仿宋" w:hAnsi="仿宋" w:eastAsia="仿宋" w:cs="Times New Roman"/>
          <w:b/>
          <w:kern w:val="2"/>
          <w:sz w:val="28"/>
          <w:szCs w:val="28"/>
        </w:rPr>
        <w:t>政策相关性：</w:t>
      </w:r>
      <w:bookmarkEnd w:id="12"/>
      <w:r>
        <w:rPr>
          <w:rFonts w:hint="eastAsia" w:ascii="仿宋" w:hAnsi="仿宋" w:eastAsia="仿宋" w:cs="Times New Roman"/>
          <w:b/>
          <w:kern w:val="2"/>
          <w:sz w:val="28"/>
          <w:szCs w:val="28"/>
        </w:rPr>
        <w:t>高</w:t>
      </w:r>
      <w:r>
        <w:rPr>
          <w:rFonts w:hint="eastAsia" w:ascii="仿宋" w:hAnsi="仿宋" w:eastAsia="仿宋" w:cs="Times New Roman"/>
          <w:kern w:val="2"/>
          <w:sz w:val="28"/>
          <w:szCs w:val="28"/>
        </w:rPr>
        <w:t>。政策依据充分，政策扶持内容符合鼓励丽水市中小微企业和“三农”发展的现实需要，主管部门市金融办对民间融资扶持政策总目标设定清晰，但</w:t>
      </w:r>
      <w:bookmarkStart w:id="13" w:name="_Hlk77115280"/>
      <w:r>
        <w:rPr>
          <w:rFonts w:hint="eastAsia" w:ascii="仿宋" w:hAnsi="仿宋" w:eastAsia="仿宋" w:cs="Times New Roman"/>
          <w:kern w:val="2"/>
          <w:sz w:val="28"/>
          <w:szCs w:val="28"/>
        </w:rPr>
        <w:t>莲都民融中心绩效目标不够明确，后续无法衡量目标完成情况。</w:t>
      </w:r>
    </w:p>
    <w:bookmarkEnd w:id="13"/>
    <w:p>
      <w:pPr>
        <w:pStyle w:val="3"/>
        <w:tabs>
          <w:tab w:val="left" w:pos="1276"/>
          <w:tab w:val="left" w:pos="1418"/>
        </w:tabs>
        <w:spacing w:before="0" w:beforeAutospacing="0" w:after="0" w:afterAutospacing="0" w:line="560" w:lineRule="exact"/>
        <w:ind w:firstLine="562" w:firstLineChars="200"/>
        <w:rPr>
          <w:rFonts w:hint="eastAsia" w:ascii="仿宋" w:hAnsi="仿宋" w:eastAsia="仿宋"/>
          <w:b/>
          <w:sz w:val="28"/>
          <w:szCs w:val="28"/>
        </w:rPr>
      </w:pPr>
      <w:r>
        <w:rPr>
          <w:rFonts w:hint="eastAsia" w:ascii="仿宋" w:hAnsi="仿宋" w:eastAsia="仿宋"/>
          <w:b/>
          <w:sz w:val="28"/>
          <w:szCs w:val="28"/>
        </w:rPr>
        <w:t>2.</w:t>
      </w:r>
      <w:bookmarkStart w:id="14" w:name="_Hlk76906758"/>
      <w:r>
        <w:rPr>
          <w:rFonts w:hint="eastAsia" w:ascii="仿宋" w:hAnsi="仿宋" w:eastAsia="仿宋"/>
          <w:b/>
          <w:sz w:val="28"/>
          <w:szCs w:val="28"/>
        </w:rPr>
        <w:t>政策</w:t>
      </w:r>
      <w:r>
        <w:rPr>
          <w:rFonts w:ascii="仿宋" w:hAnsi="仿宋" w:eastAsia="仿宋"/>
          <w:b/>
          <w:sz w:val="28"/>
          <w:szCs w:val="28"/>
        </w:rPr>
        <w:t>效率性</w:t>
      </w:r>
      <w:r>
        <w:rPr>
          <w:rFonts w:hint="eastAsia" w:ascii="仿宋" w:hAnsi="仿宋" w:eastAsia="仿宋"/>
          <w:b/>
          <w:sz w:val="28"/>
          <w:szCs w:val="28"/>
        </w:rPr>
        <w:t>：</w:t>
      </w:r>
      <w:bookmarkEnd w:id="14"/>
      <w:r>
        <w:rPr>
          <w:rFonts w:hint="eastAsia" w:ascii="仿宋" w:hAnsi="仿宋" w:eastAsia="仿宋"/>
          <w:b/>
          <w:sz w:val="28"/>
          <w:szCs w:val="28"/>
        </w:rPr>
        <w:t>较高</w:t>
      </w:r>
      <w:r>
        <w:rPr>
          <w:rFonts w:ascii="仿宋" w:hAnsi="仿宋" w:eastAsia="仿宋"/>
          <w:sz w:val="28"/>
          <w:szCs w:val="28"/>
        </w:rPr>
        <w:t>。项目实施方案明确了资金支持对象和范围、申报和审核拨付、管理与监督等，实施内容和申报内容一致</w:t>
      </w:r>
      <w:r>
        <w:rPr>
          <w:rFonts w:hint="eastAsia" w:ascii="仿宋" w:hAnsi="仿宋" w:eastAsia="仿宋"/>
          <w:sz w:val="28"/>
          <w:szCs w:val="28"/>
        </w:rPr>
        <w:t>。业务执行效率方面，民融中心制定财务管理制度、融资业务立项和审批管理办法、融资业务管理制度、借款风险管理制度等系列制度规范业务操作和严格控制风险。民融中心在资金撮合、转贷通等方面均有较高的业务量，但由于未制定绩效目标，无法考核目标完成程度。</w:t>
      </w:r>
    </w:p>
    <w:p>
      <w:pPr>
        <w:tabs>
          <w:tab w:val="left" w:pos="1276"/>
        </w:tabs>
        <w:spacing w:line="560" w:lineRule="exact"/>
        <w:ind w:firstLine="562" w:firstLineChars="200"/>
        <w:rPr>
          <w:rFonts w:ascii="仿宋" w:hAnsi="仿宋" w:eastAsia="仿宋"/>
          <w:sz w:val="28"/>
          <w:szCs w:val="28"/>
        </w:rPr>
      </w:pPr>
      <w:r>
        <w:rPr>
          <w:rFonts w:hint="eastAsia" w:ascii="仿宋" w:hAnsi="仿宋" w:eastAsia="仿宋"/>
          <w:b/>
          <w:sz w:val="28"/>
          <w:szCs w:val="28"/>
        </w:rPr>
        <w:t>3.</w:t>
      </w:r>
      <w:bookmarkStart w:id="15" w:name="_Hlk76906767"/>
      <w:r>
        <w:rPr>
          <w:rFonts w:hint="eastAsia" w:ascii="仿宋" w:hAnsi="仿宋" w:eastAsia="仿宋"/>
          <w:b/>
          <w:sz w:val="28"/>
          <w:szCs w:val="28"/>
        </w:rPr>
        <w:t>政策有效性：</w:t>
      </w:r>
      <w:bookmarkEnd w:id="15"/>
      <w:r>
        <w:rPr>
          <w:rFonts w:hint="eastAsia" w:ascii="仿宋" w:hAnsi="仿宋" w:eastAsia="仿宋"/>
          <w:b/>
          <w:sz w:val="28"/>
          <w:szCs w:val="28"/>
        </w:rPr>
        <w:t>一般。</w:t>
      </w:r>
      <w:r>
        <w:rPr>
          <w:rFonts w:hint="eastAsia" w:ascii="仿宋" w:hAnsi="仿宋" w:eastAsia="仿宋"/>
          <w:sz w:val="28"/>
          <w:szCs w:val="28"/>
        </w:rPr>
        <w:t>本项目专项资金政策的实施，为丽水市支持中小微企业和“三农”及市民投、融资方面均起到了积极的推动作用，成效较明显。问卷调查结果显示，调查对象对莲都民融中心扶持政策的平均满意度为</w:t>
      </w:r>
      <w:r>
        <w:rPr>
          <w:rFonts w:ascii="仿宋" w:hAnsi="仿宋" w:eastAsia="仿宋"/>
          <w:sz w:val="28"/>
          <w:szCs w:val="28"/>
        </w:rPr>
        <w:t>69.94%</w:t>
      </w:r>
      <w:r>
        <w:rPr>
          <w:rFonts w:hint="eastAsia" w:ascii="仿宋" w:hAnsi="仿宋" w:eastAsia="仿宋"/>
          <w:sz w:val="28"/>
          <w:szCs w:val="28"/>
        </w:rPr>
        <w:t xml:space="preserve">，还存在宣传力度不够、支持融资对象不全面、融资手续上不够灵活等方面的不足。 </w:t>
      </w:r>
    </w:p>
    <w:p>
      <w:pPr>
        <w:pStyle w:val="3"/>
        <w:autoSpaceDN w:val="0"/>
        <w:spacing w:before="0" w:beforeAutospacing="0" w:after="0" w:afterAutospacing="0" w:line="560" w:lineRule="exact"/>
        <w:ind w:firstLine="560" w:firstLineChars="200"/>
        <w:rPr>
          <w:rFonts w:ascii="仿宋" w:hAnsi="仿宋" w:eastAsia="仿宋" w:cs="Times New Roman"/>
          <w:kern w:val="2"/>
          <w:sz w:val="28"/>
          <w:szCs w:val="28"/>
        </w:rPr>
      </w:pPr>
      <w:r>
        <w:rPr>
          <w:rFonts w:hint="eastAsia" w:ascii="仿宋" w:hAnsi="仿宋" w:eastAsia="仿宋"/>
          <w:sz w:val="28"/>
          <w:szCs w:val="28"/>
        </w:rPr>
        <w:t>莲都民间融资中心扶持政策项目的“相关性”得</w:t>
      </w:r>
      <w:r>
        <w:rPr>
          <w:rFonts w:ascii="仿宋" w:hAnsi="仿宋" w:eastAsia="仿宋"/>
          <w:sz w:val="28"/>
          <w:szCs w:val="28"/>
        </w:rPr>
        <w:t>9分、“</w:t>
      </w:r>
      <w:r>
        <w:rPr>
          <w:rFonts w:hint="eastAsia" w:ascii="仿宋" w:hAnsi="仿宋" w:eastAsia="仿宋"/>
          <w:sz w:val="28"/>
          <w:szCs w:val="28"/>
        </w:rPr>
        <w:t>效率</w:t>
      </w:r>
      <w:r>
        <w:rPr>
          <w:rFonts w:ascii="仿宋" w:hAnsi="仿宋" w:eastAsia="仿宋"/>
          <w:sz w:val="28"/>
          <w:szCs w:val="28"/>
        </w:rPr>
        <w:t>性”得8分、“</w:t>
      </w:r>
      <w:r>
        <w:rPr>
          <w:rFonts w:hint="eastAsia" w:ascii="仿宋" w:hAnsi="仿宋" w:eastAsia="仿宋"/>
          <w:sz w:val="28"/>
          <w:szCs w:val="28"/>
        </w:rPr>
        <w:t>有</w:t>
      </w:r>
      <w:r>
        <w:rPr>
          <w:rFonts w:ascii="仿宋" w:hAnsi="仿宋" w:eastAsia="仿宋"/>
          <w:sz w:val="28"/>
          <w:szCs w:val="28"/>
        </w:rPr>
        <w:t>效性”得6.99分。</w:t>
      </w:r>
      <w:r>
        <w:rPr>
          <w:rFonts w:hint="eastAsia" w:ascii="仿宋" w:hAnsi="仿宋" w:eastAsia="仿宋"/>
          <w:sz w:val="28"/>
          <w:szCs w:val="28"/>
        </w:rPr>
        <w:t>评价</w:t>
      </w:r>
      <w:r>
        <w:rPr>
          <w:rFonts w:ascii="仿宋" w:hAnsi="仿宋" w:eastAsia="仿宋"/>
          <w:sz w:val="28"/>
          <w:szCs w:val="28"/>
        </w:rPr>
        <w:t>等级为：</w:t>
      </w:r>
      <w:r>
        <w:rPr>
          <w:rFonts w:hint="eastAsia" w:ascii="仿宋" w:hAnsi="仿宋" w:eastAsia="仿宋"/>
          <w:sz w:val="28"/>
          <w:szCs w:val="28"/>
        </w:rPr>
        <w:t>相关性高</w:t>
      </w:r>
      <w:r>
        <w:rPr>
          <w:rFonts w:ascii="仿宋" w:hAnsi="仿宋" w:eastAsia="仿宋"/>
          <w:sz w:val="28"/>
          <w:szCs w:val="28"/>
        </w:rPr>
        <w:t>、</w:t>
      </w:r>
      <w:r>
        <w:rPr>
          <w:rFonts w:hint="eastAsia" w:ascii="仿宋" w:hAnsi="仿宋" w:eastAsia="仿宋"/>
          <w:sz w:val="28"/>
          <w:szCs w:val="28"/>
        </w:rPr>
        <w:t>效率性较高</w:t>
      </w:r>
      <w:r>
        <w:rPr>
          <w:rFonts w:ascii="仿宋" w:hAnsi="仿宋" w:eastAsia="仿宋"/>
          <w:sz w:val="28"/>
          <w:szCs w:val="28"/>
        </w:rPr>
        <w:t>、</w:t>
      </w:r>
      <w:r>
        <w:rPr>
          <w:rFonts w:hint="eastAsia" w:ascii="仿宋" w:hAnsi="仿宋" w:eastAsia="仿宋"/>
          <w:sz w:val="28"/>
          <w:szCs w:val="28"/>
        </w:rPr>
        <w:t>效果性一般</w:t>
      </w:r>
      <w:r>
        <w:rPr>
          <w:rFonts w:ascii="仿宋" w:hAnsi="仿宋" w:eastAsia="仿宋"/>
          <w:sz w:val="28"/>
          <w:szCs w:val="28"/>
        </w:rPr>
        <w:t>（评分说明见附件</w:t>
      </w:r>
      <w:r>
        <w:rPr>
          <w:rFonts w:hint="eastAsia" w:ascii="仿宋" w:hAnsi="仿宋" w:eastAsia="仿宋"/>
          <w:sz w:val="28"/>
          <w:szCs w:val="28"/>
        </w:rPr>
        <w:t>2</w:t>
      </w:r>
      <w:r>
        <w:rPr>
          <w:rFonts w:ascii="仿宋" w:hAnsi="仿宋" w:eastAsia="仿宋"/>
          <w:sz w:val="28"/>
          <w:szCs w:val="28"/>
        </w:rPr>
        <w:t>）。</w:t>
      </w:r>
    </w:p>
    <w:p>
      <w:pPr>
        <w:spacing w:line="560" w:lineRule="exact"/>
        <w:ind w:firstLine="422" w:firstLineChars="150"/>
        <w:rPr>
          <w:rFonts w:ascii="仿宋" w:hAnsi="仿宋" w:eastAsia="仿宋"/>
          <w:b/>
          <w:sz w:val="28"/>
          <w:szCs w:val="28"/>
        </w:rPr>
      </w:pPr>
      <w:r>
        <w:rPr>
          <w:rFonts w:hint="eastAsia" w:ascii="仿宋" w:hAnsi="仿宋" w:eastAsia="仿宋"/>
          <w:b/>
          <w:sz w:val="28"/>
          <w:szCs w:val="28"/>
        </w:rPr>
        <w:t>（六）存在的主要问题</w:t>
      </w:r>
    </w:p>
    <w:p>
      <w:pPr>
        <w:spacing w:line="560" w:lineRule="exact"/>
        <w:ind w:firstLine="562" w:firstLineChars="200"/>
        <w:rPr>
          <w:rFonts w:ascii="仿宋" w:hAnsi="仿宋" w:eastAsia="仿宋" w:cs="宋体"/>
          <w:b/>
          <w:bCs/>
          <w:kern w:val="0"/>
          <w:sz w:val="28"/>
          <w:szCs w:val="28"/>
        </w:rPr>
      </w:pPr>
      <w:r>
        <w:rPr>
          <w:rFonts w:hint="eastAsia" w:ascii="仿宋" w:hAnsi="仿宋" w:eastAsia="仿宋" w:cs="宋体"/>
          <w:b/>
          <w:bCs/>
          <w:kern w:val="0"/>
          <w:sz w:val="28"/>
          <w:szCs w:val="28"/>
        </w:rPr>
        <w:t>1、未制定具体绩效目标</w:t>
      </w:r>
    </w:p>
    <w:p>
      <w:pPr>
        <w:spacing w:line="560" w:lineRule="exact"/>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扶持政策绩效具体目标未制定，主管部门对财政奖励扶持政策的引导也不够具体。</w:t>
      </w:r>
      <w:bookmarkStart w:id="16" w:name="_Hlk78837412"/>
      <w:r>
        <w:rPr>
          <w:rFonts w:hint="eastAsia" w:ascii="仿宋" w:hAnsi="仿宋" w:eastAsia="仿宋" w:cs="宋体"/>
          <w:kern w:val="0"/>
          <w:sz w:val="28"/>
          <w:szCs w:val="28"/>
        </w:rPr>
        <w:t>一是根据《丽水市人民政府办公室关于丽水市开展民间融资服务中心试点工作的实施意见》（丽政办发明电〔</w:t>
      </w:r>
      <w:r>
        <w:rPr>
          <w:rFonts w:ascii="仿宋" w:hAnsi="仿宋" w:eastAsia="仿宋" w:cs="宋体"/>
          <w:kern w:val="0"/>
          <w:sz w:val="28"/>
          <w:szCs w:val="28"/>
        </w:rPr>
        <w:t>2014〕83号）</w:t>
      </w:r>
      <w:bookmarkEnd w:id="16"/>
      <w:r>
        <w:rPr>
          <w:rFonts w:hint="eastAsia" w:ascii="仿宋" w:hAnsi="仿宋" w:eastAsia="仿宋" w:cs="宋体"/>
          <w:kern w:val="0"/>
          <w:sz w:val="28"/>
          <w:szCs w:val="28"/>
        </w:rPr>
        <w:t>，政策总体目标为：围绕服务全省“两个中心”建设目标，充分发挥丽水市农村金融改革“先行先试”的优势，探索阳光化操作和市场化运作的民间融资发展新模式，以改善小微企业投融资环境、引导民间合法融资为立足点，一手抓发展、一手抓规范，推动民间融资阳光化规范化，使区域民间融资流转顺畅有序，作用充分发挥，风险切实防范。简化融资手续，提高融资效率，支持</w:t>
      </w:r>
      <w:bookmarkStart w:id="17" w:name="_Hlk84538212"/>
      <w:r>
        <w:rPr>
          <w:rFonts w:hint="eastAsia" w:ascii="仿宋" w:hAnsi="仿宋" w:eastAsia="仿宋" w:cs="宋体"/>
          <w:kern w:val="0"/>
          <w:sz w:val="28"/>
          <w:szCs w:val="28"/>
        </w:rPr>
        <w:t>中小微企业和“三农”发展，实现民间金融资源的优化配置，缓解“小微企业融资难”和“民间资金投资难”两难问题。</w:t>
      </w:r>
    </w:p>
    <w:bookmarkEnd w:id="17"/>
    <w:p>
      <w:pPr>
        <w:spacing w:line="560" w:lineRule="exact"/>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从上述看，政策的总体目标过于宏观，主管部门未将绩效目标进行细化量化，而民融中心也无年度工作计划和具体绩效目标，无法考核任务完成情况。</w:t>
      </w:r>
    </w:p>
    <w:p>
      <w:pPr>
        <w:spacing w:line="560" w:lineRule="exact"/>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二是根据</w:t>
      </w:r>
      <w:bookmarkStart w:id="18" w:name="_Hlk84536701"/>
      <w:r>
        <w:rPr>
          <w:rFonts w:hint="eastAsia" w:ascii="仿宋" w:hAnsi="仿宋" w:eastAsia="仿宋" w:cs="宋体"/>
          <w:kern w:val="0"/>
          <w:sz w:val="28"/>
          <w:szCs w:val="28"/>
        </w:rPr>
        <w:t>丽政办发明电〔</w:t>
      </w:r>
      <w:r>
        <w:rPr>
          <w:rFonts w:ascii="仿宋" w:hAnsi="仿宋" w:eastAsia="仿宋" w:cs="宋体"/>
          <w:kern w:val="0"/>
          <w:sz w:val="28"/>
          <w:szCs w:val="28"/>
        </w:rPr>
        <w:t>2014〕83号</w:t>
      </w:r>
      <w:r>
        <w:rPr>
          <w:rFonts w:hint="eastAsia" w:ascii="仿宋" w:hAnsi="仿宋" w:eastAsia="仿宋" w:cs="宋体"/>
          <w:kern w:val="0"/>
          <w:sz w:val="28"/>
          <w:szCs w:val="28"/>
        </w:rPr>
        <w:t>规定</w:t>
      </w:r>
      <w:bookmarkEnd w:id="18"/>
      <w:r>
        <w:rPr>
          <w:rFonts w:hint="eastAsia" w:ascii="仿宋" w:hAnsi="仿宋" w:eastAsia="仿宋" w:cs="宋体"/>
          <w:kern w:val="0"/>
          <w:sz w:val="28"/>
          <w:szCs w:val="28"/>
        </w:rPr>
        <w:t>，民间融资服务中心自设立之日起5年内按其缴纳的所得税、营业税（增值税</w:t>
      </w:r>
      <w:r>
        <w:rPr>
          <w:rFonts w:ascii="仿宋" w:hAnsi="仿宋" w:eastAsia="仿宋" w:cs="宋体"/>
          <w:kern w:val="0"/>
          <w:sz w:val="28"/>
          <w:szCs w:val="28"/>
        </w:rPr>
        <w:t>）</w:t>
      </w:r>
      <w:r>
        <w:rPr>
          <w:rFonts w:hint="eastAsia" w:ascii="仿宋" w:hAnsi="仿宋" w:eastAsia="仿宋" w:cs="宋体"/>
          <w:kern w:val="0"/>
          <w:sz w:val="28"/>
          <w:szCs w:val="28"/>
        </w:rPr>
        <w:t>地方留成部分全额予以补助。</w:t>
      </w:r>
      <w:r>
        <w:rPr>
          <w:rFonts w:ascii="仿宋" w:hAnsi="仿宋" w:eastAsia="仿宋" w:cs="宋体"/>
          <w:kern w:val="0"/>
          <w:sz w:val="28"/>
          <w:szCs w:val="28"/>
        </w:rPr>
        <w:t>2015年至2019年，莲都民融</w:t>
      </w:r>
      <w:r>
        <w:rPr>
          <w:rFonts w:hint="eastAsia" w:ascii="仿宋" w:hAnsi="仿宋" w:eastAsia="仿宋" w:cs="宋体"/>
          <w:kern w:val="0"/>
          <w:sz w:val="28"/>
          <w:szCs w:val="28"/>
        </w:rPr>
        <w:t>中心</w:t>
      </w:r>
      <w:r>
        <w:rPr>
          <w:rFonts w:ascii="仿宋" w:hAnsi="仿宋" w:eastAsia="仿宋" w:cs="宋体"/>
          <w:kern w:val="0"/>
          <w:sz w:val="28"/>
          <w:szCs w:val="28"/>
        </w:rPr>
        <w:t>收到丽水市财</w:t>
      </w:r>
      <w:r>
        <w:rPr>
          <w:rFonts w:hint="eastAsia" w:ascii="仿宋" w:hAnsi="仿宋" w:eastAsia="仿宋" w:cs="宋体"/>
          <w:kern w:val="0"/>
          <w:sz w:val="28"/>
          <w:szCs w:val="28"/>
        </w:rPr>
        <w:t>政</w:t>
      </w:r>
      <w:r>
        <w:rPr>
          <w:rFonts w:ascii="仿宋" w:hAnsi="仿宋" w:eastAsia="仿宋" w:cs="宋体"/>
          <w:kern w:val="0"/>
          <w:sz w:val="28"/>
          <w:szCs w:val="28"/>
        </w:rPr>
        <w:t>激励扶持资金</w:t>
      </w:r>
      <w:r>
        <w:rPr>
          <w:rFonts w:hint="eastAsia" w:ascii="仿宋" w:hAnsi="仿宋" w:eastAsia="仿宋" w:cs="宋体"/>
          <w:kern w:val="0"/>
          <w:sz w:val="28"/>
          <w:szCs w:val="28"/>
        </w:rPr>
        <w:t>共</w:t>
      </w:r>
      <w:r>
        <w:rPr>
          <w:rFonts w:ascii="仿宋" w:hAnsi="仿宋" w:eastAsia="仿宋" w:cs="宋体"/>
          <w:kern w:val="0"/>
          <w:sz w:val="28"/>
          <w:szCs w:val="28"/>
        </w:rPr>
        <w:t>计870.16万元。</w:t>
      </w:r>
      <w:r>
        <w:rPr>
          <w:rFonts w:hint="eastAsia" w:ascii="仿宋" w:hAnsi="仿宋" w:eastAsia="仿宋" w:cs="宋体"/>
          <w:kern w:val="0"/>
          <w:sz w:val="28"/>
          <w:szCs w:val="28"/>
        </w:rPr>
        <w:t>但该政策的补助具体要引导民融中心落实哪方面的工作任务不明确，主管部门没有要求民融中心针对小微企业服务数量，“三农”主体数等量化指标。目前民融中心业务主要针对个人和部分小微企业，对“三农”主体很少涉及，原来涉及过的浙江六江源绿色食品有限公司出现了坏账，部分资金至今无法收回。补助政策</w:t>
      </w:r>
      <w:bookmarkStart w:id="19" w:name="_Hlk84537987"/>
      <w:r>
        <w:rPr>
          <w:rFonts w:hint="eastAsia" w:ascii="仿宋" w:hAnsi="仿宋" w:eastAsia="仿宋" w:cs="宋体"/>
          <w:kern w:val="0"/>
          <w:sz w:val="28"/>
          <w:szCs w:val="28"/>
        </w:rPr>
        <w:t>对扶持方向、资金使用范围、用途等方面的规定不够详细</w:t>
      </w:r>
      <w:bookmarkEnd w:id="19"/>
      <w:r>
        <w:rPr>
          <w:rFonts w:hint="eastAsia" w:ascii="仿宋" w:hAnsi="仿宋" w:eastAsia="仿宋" w:cs="宋体"/>
          <w:kern w:val="0"/>
          <w:sz w:val="28"/>
          <w:szCs w:val="28"/>
        </w:rPr>
        <w:t>，影响了政策的引导激励作用。</w:t>
      </w:r>
    </w:p>
    <w:p>
      <w:pPr>
        <w:spacing w:line="560" w:lineRule="exact"/>
        <w:ind w:firstLine="562" w:firstLineChars="200"/>
        <w:rPr>
          <w:rFonts w:hint="eastAsia" w:ascii="仿宋" w:hAnsi="仿宋" w:eastAsia="仿宋"/>
          <w:b/>
          <w:bCs/>
          <w:sz w:val="28"/>
          <w:szCs w:val="28"/>
        </w:rPr>
      </w:pPr>
      <w:r>
        <w:rPr>
          <w:rFonts w:ascii="仿宋" w:hAnsi="仿宋" w:eastAsia="仿宋"/>
          <w:b/>
          <w:bCs/>
          <w:sz w:val="28"/>
          <w:szCs w:val="28"/>
        </w:rPr>
        <w:t>2</w:t>
      </w:r>
      <w:r>
        <w:rPr>
          <w:rFonts w:hint="eastAsia" w:ascii="仿宋" w:hAnsi="仿宋" w:eastAsia="仿宋"/>
          <w:b/>
          <w:bCs/>
          <w:sz w:val="28"/>
          <w:szCs w:val="28"/>
        </w:rPr>
        <w:t>、民融中心业务单一、与初衷有较大差距</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根据设立莲都民融中心的初衷及营业执照规定，民融中心主要从事民间资金需求信息登记与发布，组织民间供需双方的对接、借贷管理服务及对交易款项进行结算监管，代理办理相关手续，开展借贷担保和自有资金的借贷匹配业务，发起设立和管理私募基金等。实际上民融中心业务类型基本局限于资产抵押借款业务，不涉及信用担保的资金出借业务，融资方式上还有一定的局限性。“转贷通”业务由于各家合作银行内部管理以及合规性存在较大制度约束等原因，相关业务推进较为缓慢，最后无法推行，其他业务基本未开展。</w:t>
      </w:r>
    </w:p>
    <w:p>
      <w:pPr>
        <w:spacing w:line="560" w:lineRule="exact"/>
        <w:ind w:firstLine="562" w:firstLineChars="200"/>
        <w:rPr>
          <w:rFonts w:ascii="仿宋" w:hAnsi="仿宋" w:eastAsia="仿宋"/>
          <w:b/>
          <w:bCs/>
          <w:sz w:val="28"/>
          <w:szCs w:val="28"/>
        </w:rPr>
      </w:pPr>
      <w:r>
        <w:rPr>
          <w:rFonts w:ascii="仿宋" w:hAnsi="仿宋" w:eastAsia="仿宋"/>
          <w:b/>
          <w:bCs/>
          <w:sz w:val="28"/>
          <w:szCs w:val="28"/>
        </w:rPr>
        <w:t>3</w:t>
      </w:r>
      <w:r>
        <w:rPr>
          <w:rFonts w:hint="eastAsia" w:ascii="仿宋" w:hAnsi="仿宋" w:eastAsia="仿宋"/>
          <w:b/>
          <w:bCs/>
          <w:sz w:val="28"/>
          <w:szCs w:val="28"/>
        </w:rPr>
        <w:t>、补助资金申报与审核工作</w:t>
      </w:r>
      <w:bookmarkStart w:id="20" w:name="_Hlk84759048"/>
      <w:r>
        <w:rPr>
          <w:rFonts w:hint="eastAsia" w:ascii="仿宋" w:hAnsi="仿宋" w:eastAsia="仿宋"/>
          <w:b/>
          <w:bCs/>
          <w:sz w:val="28"/>
          <w:szCs w:val="28"/>
        </w:rPr>
        <w:t>未及时衔接</w:t>
      </w:r>
      <w:bookmarkEnd w:id="20"/>
      <w:r>
        <w:rPr>
          <w:rFonts w:hint="eastAsia" w:ascii="仿宋" w:hAnsi="仿宋" w:eastAsia="仿宋"/>
          <w:b/>
          <w:bCs/>
          <w:sz w:val="28"/>
          <w:szCs w:val="28"/>
        </w:rPr>
        <w:t>，多申报补助资金22.66万元</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根据丽政办发明电〔2014〕83号文件规定，莲都民融中心自设立之日起</w:t>
      </w:r>
      <w:r>
        <w:rPr>
          <w:rFonts w:ascii="仿宋" w:hAnsi="仿宋" w:eastAsia="仿宋"/>
          <w:sz w:val="28"/>
          <w:szCs w:val="28"/>
        </w:rPr>
        <w:t>5年内按其缴纳的所得税、营业税（增值税）地方留成部分全额予以补助</w:t>
      </w:r>
      <w:r>
        <w:rPr>
          <w:rFonts w:hint="eastAsia" w:ascii="仿宋" w:hAnsi="仿宋" w:eastAsia="仿宋"/>
          <w:sz w:val="28"/>
          <w:szCs w:val="28"/>
        </w:rPr>
        <w:t>,</w:t>
      </w:r>
      <w:r>
        <w:rPr>
          <w:rFonts w:ascii="仿宋" w:hAnsi="仿宋" w:eastAsia="仿宋"/>
          <w:sz w:val="28"/>
          <w:szCs w:val="28"/>
        </w:rPr>
        <w:t>2015年至2019年，莲都民融</w:t>
      </w:r>
      <w:r>
        <w:rPr>
          <w:rFonts w:hint="eastAsia" w:ascii="仿宋" w:hAnsi="仿宋" w:eastAsia="仿宋"/>
          <w:sz w:val="28"/>
          <w:szCs w:val="28"/>
        </w:rPr>
        <w:t>中心收到</w:t>
      </w:r>
      <w:r>
        <w:rPr>
          <w:rFonts w:ascii="仿宋" w:hAnsi="仿宋" w:eastAsia="仿宋"/>
          <w:sz w:val="28"/>
          <w:szCs w:val="28"/>
        </w:rPr>
        <w:t>丽水市财</w:t>
      </w:r>
      <w:r>
        <w:rPr>
          <w:rFonts w:hint="eastAsia" w:ascii="仿宋" w:hAnsi="仿宋" w:eastAsia="仿宋"/>
          <w:sz w:val="28"/>
          <w:szCs w:val="28"/>
        </w:rPr>
        <w:t>政</w:t>
      </w:r>
      <w:r>
        <w:rPr>
          <w:rFonts w:ascii="仿宋" w:hAnsi="仿宋" w:eastAsia="仿宋"/>
          <w:sz w:val="28"/>
          <w:szCs w:val="28"/>
        </w:rPr>
        <w:t>激励扶持资金合计870.16万元</w:t>
      </w:r>
      <w:r>
        <w:rPr>
          <w:rFonts w:hint="eastAsia" w:ascii="仿宋" w:hAnsi="仿宋" w:eastAsia="仿宋"/>
          <w:sz w:val="28"/>
          <w:szCs w:val="28"/>
        </w:rPr>
        <w:t>。其中201</w:t>
      </w:r>
      <w:r>
        <w:rPr>
          <w:rFonts w:ascii="仿宋" w:hAnsi="仿宋" w:eastAsia="仿宋"/>
          <w:sz w:val="28"/>
          <w:szCs w:val="28"/>
        </w:rPr>
        <w:t>8</w:t>
      </w:r>
      <w:r>
        <w:rPr>
          <w:rFonts w:hint="eastAsia" w:ascii="仿宋" w:hAnsi="仿宋" w:eastAsia="仿宋"/>
          <w:sz w:val="28"/>
          <w:szCs w:val="28"/>
        </w:rPr>
        <w:t>年企业申</w:t>
      </w:r>
      <w:r>
        <w:rPr>
          <w:rFonts w:ascii="仿宋" w:hAnsi="仿宋" w:eastAsia="仿宋"/>
          <w:sz w:val="28"/>
          <w:szCs w:val="28"/>
        </w:rPr>
        <w:t>报补助资金2,069,326.07元（增值税1,400,417.08*</w:t>
      </w:r>
      <w:r>
        <w:rPr>
          <w:rFonts w:hint="eastAsia" w:ascii="仿宋" w:hAnsi="仿宋" w:eastAsia="仿宋"/>
          <w:sz w:val="28"/>
          <w:szCs w:val="28"/>
        </w:rPr>
        <w:t>40</w:t>
      </w:r>
      <w:r>
        <w:rPr>
          <w:rFonts w:ascii="仿宋" w:hAnsi="仿宋" w:eastAsia="仿宋"/>
          <w:sz w:val="28"/>
          <w:szCs w:val="28"/>
        </w:rPr>
        <w:t>%+企业所得税4,716,122.63*32%），经评价组检查复核，莲都民融中心2018年实缴增值税1,400,417.08元，实缴企业所得税4,008,033.71元（申报资金后发生退库708,088.92），应补助资金1,842,737.62元</w:t>
      </w:r>
      <w:r>
        <w:rPr>
          <w:rFonts w:hint="eastAsia" w:ascii="仿宋" w:hAnsi="仿宋" w:eastAsia="仿宋"/>
          <w:sz w:val="28"/>
          <w:szCs w:val="28"/>
        </w:rPr>
        <w:t>，多补助资金</w:t>
      </w:r>
      <w:r>
        <w:rPr>
          <w:rFonts w:ascii="仿宋" w:hAnsi="仿宋" w:eastAsia="仿宋"/>
          <w:sz w:val="28"/>
          <w:szCs w:val="28"/>
        </w:rPr>
        <w:t>226,588.45</w:t>
      </w:r>
      <w:r>
        <w:rPr>
          <w:rFonts w:hint="eastAsia" w:ascii="仿宋" w:hAnsi="仿宋" w:eastAsia="仿宋"/>
          <w:sz w:val="28"/>
          <w:szCs w:val="28"/>
        </w:rPr>
        <w:t>元。具体情况：</w:t>
      </w:r>
      <w:r>
        <w:rPr>
          <w:rFonts w:ascii="仿宋" w:hAnsi="仿宋" w:eastAsia="仿宋"/>
          <w:sz w:val="28"/>
          <w:szCs w:val="28"/>
        </w:rPr>
        <w:t>民融</w:t>
      </w:r>
      <w:r>
        <w:rPr>
          <w:rFonts w:hint="eastAsia" w:ascii="仿宋" w:hAnsi="仿宋" w:eastAsia="仿宋"/>
          <w:sz w:val="28"/>
          <w:szCs w:val="28"/>
        </w:rPr>
        <w:t>服务</w:t>
      </w:r>
      <w:r>
        <w:rPr>
          <w:rFonts w:ascii="仿宋" w:hAnsi="仿宋" w:eastAsia="仿宋"/>
          <w:sz w:val="28"/>
          <w:szCs w:val="28"/>
        </w:rPr>
        <w:t>中心</w:t>
      </w:r>
      <w:r>
        <w:rPr>
          <w:rFonts w:hint="eastAsia" w:ascii="仿宋" w:hAnsi="仿宋" w:eastAsia="仿宋"/>
          <w:sz w:val="28"/>
          <w:szCs w:val="28"/>
        </w:rPr>
        <w:t>提交奖励申报材料时间为2</w:t>
      </w:r>
      <w:r>
        <w:rPr>
          <w:rFonts w:ascii="仿宋" w:hAnsi="仿宋" w:eastAsia="仿宋"/>
          <w:sz w:val="28"/>
          <w:szCs w:val="28"/>
        </w:rPr>
        <w:t>019</w:t>
      </w:r>
      <w:r>
        <w:rPr>
          <w:rFonts w:hint="eastAsia" w:ascii="仿宋" w:hAnsi="仿宋" w:eastAsia="仿宋"/>
          <w:sz w:val="28"/>
          <w:szCs w:val="28"/>
        </w:rPr>
        <w:t>年</w:t>
      </w:r>
      <w:r>
        <w:rPr>
          <w:rFonts w:ascii="仿宋" w:hAnsi="仿宋" w:eastAsia="仿宋"/>
          <w:sz w:val="28"/>
          <w:szCs w:val="28"/>
        </w:rPr>
        <w:t>8</w:t>
      </w:r>
      <w:r>
        <w:rPr>
          <w:rFonts w:hint="eastAsia" w:ascii="仿宋" w:hAnsi="仿宋" w:eastAsia="仿宋"/>
          <w:sz w:val="28"/>
          <w:szCs w:val="28"/>
        </w:rPr>
        <w:t>月1日，完税证明开具时间为2019年6月17日，所得税退库时间为2</w:t>
      </w:r>
      <w:r>
        <w:rPr>
          <w:rFonts w:ascii="仿宋" w:hAnsi="仿宋" w:eastAsia="仿宋"/>
          <w:sz w:val="28"/>
          <w:szCs w:val="28"/>
        </w:rPr>
        <w:t>019</w:t>
      </w:r>
      <w:r>
        <w:rPr>
          <w:rFonts w:hint="eastAsia" w:ascii="仿宋" w:hAnsi="仿宋" w:eastAsia="仿宋"/>
          <w:sz w:val="28"/>
          <w:szCs w:val="28"/>
        </w:rPr>
        <w:t>年6月2</w:t>
      </w:r>
      <w:r>
        <w:rPr>
          <w:rFonts w:ascii="仿宋" w:hAnsi="仿宋" w:eastAsia="仿宋"/>
          <w:sz w:val="28"/>
          <w:szCs w:val="28"/>
        </w:rPr>
        <w:t>4</w:t>
      </w:r>
      <w:r>
        <w:rPr>
          <w:rFonts w:hint="eastAsia" w:ascii="仿宋" w:hAnsi="仿宋" w:eastAsia="仿宋"/>
          <w:sz w:val="28"/>
          <w:szCs w:val="28"/>
        </w:rPr>
        <w:t>日，市金融办审核补助材料时间为2</w:t>
      </w:r>
      <w:r>
        <w:rPr>
          <w:rFonts w:ascii="仿宋" w:hAnsi="仿宋" w:eastAsia="仿宋"/>
          <w:sz w:val="28"/>
          <w:szCs w:val="28"/>
        </w:rPr>
        <w:t>019</w:t>
      </w:r>
      <w:r>
        <w:rPr>
          <w:rFonts w:hint="eastAsia" w:ascii="仿宋" w:hAnsi="仿宋" w:eastAsia="仿宋"/>
          <w:sz w:val="28"/>
          <w:szCs w:val="28"/>
        </w:rPr>
        <w:t>年1</w:t>
      </w:r>
      <w:r>
        <w:rPr>
          <w:rFonts w:ascii="仿宋" w:hAnsi="仿宋" w:eastAsia="仿宋"/>
          <w:sz w:val="28"/>
          <w:szCs w:val="28"/>
        </w:rPr>
        <w:t>0</w:t>
      </w:r>
      <w:r>
        <w:rPr>
          <w:rFonts w:hint="eastAsia" w:ascii="仿宋" w:hAnsi="仿宋" w:eastAsia="仿宋"/>
          <w:sz w:val="28"/>
          <w:szCs w:val="28"/>
        </w:rPr>
        <w:t>月1</w:t>
      </w:r>
      <w:r>
        <w:rPr>
          <w:rFonts w:ascii="仿宋" w:hAnsi="仿宋" w:eastAsia="仿宋"/>
          <w:sz w:val="28"/>
          <w:szCs w:val="28"/>
        </w:rPr>
        <w:t>8</w:t>
      </w:r>
      <w:r>
        <w:rPr>
          <w:rFonts w:hint="eastAsia" w:ascii="仿宋" w:hAnsi="仿宋" w:eastAsia="仿宋"/>
          <w:sz w:val="28"/>
          <w:szCs w:val="28"/>
        </w:rPr>
        <w:t>日，奖励下达在2019年1</w:t>
      </w:r>
      <w:r>
        <w:rPr>
          <w:rFonts w:ascii="仿宋" w:hAnsi="仿宋" w:eastAsia="仿宋"/>
          <w:sz w:val="28"/>
          <w:szCs w:val="28"/>
        </w:rPr>
        <w:t>1</w:t>
      </w:r>
      <w:r>
        <w:rPr>
          <w:rFonts w:hint="eastAsia" w:ascii="仿宋" w:hAnsi="仿宋" w:eastAsia="仿宋"/>
          <w:sz w:val="28"/>
          <w:szCs w:val="28"/>
        </w:rPr>
        <w:t>月2</w:t>
      </w:r>
      <w:r>
        <w:rPr>
          <w:rFonts w:ascii="仿宋" w:hAnsi="仿宋" w:eastAsia="仿宋"/>
          <w:sz w:val="28"/>
          <w:szCs w:val="28"/>
        </w:rPr>
        <w:t>7</w:t>
      </w:r>
      <w:r>
        <w:rPr>
          <w:rFonts w:hint="eastAsia" w:ascii="仿宋" w:hAnsi="仿宋" w:eastAsia="仿宋"/>
          <w:sz w:val="28"/>
          <w:szCs w:val="28"/>
        </w:rPr>
        <w:t>日。综上，莲都民融服务中心在申报材料提交时应该以退库后确定的税款完税证明作为申报依据，不应该以退库前预缴的所得税作为申报的依据。经评价组将该问题反馈给市金融办和民融中心后，市金融办已要求民融中心立即整改，多补助的</w:t>
      </w:r>
      <w:r>
        <w:rPr>
          <w:rFonts w:ascii="仿宋" w:hAnsi="仿宋" w:eastAsia="仿宋"/>
          <w:sz w:val="28"/>
          <w:szCs w:val="28"/>
        </w:rPr>
        <w:t>226,588.45</w:t>
      </w:r>
      <w:r>
        <w:rPr>
          <w:rFonts w:hint="eastAsia" w:ascii="仿宋" w:hAnsi="仿宋" w:eastAsia="仿宋"/>
          <w:sz w:val="28"/>
          <w:szCs w:val="28"/>
        </w:rPr>
        <w:t>元，已于2</w:t>
      </w:r>
      <w:r>
        <w:rPr>
          <w:rFonts w:ascii="仿宋" w:hAnsi="仿宋" w:eastAsia="仿宋"/>
          <w:sz w:val="28"/>
          <w:szCs w:val="28"/>
        </w:rPr>
        <w:t>021</w:t>
      </w:r>
      <w:r>
        <w:rPr>
          <w:rFonts w:hint="eastAsia" w:ascii="仿宋" w:hAnsi="仿宋" w:eastAsia="仿宋"/>
          <w:sz w:val="28"/>
          <w:szCs w:val="28"/>
        </w:rPr>
        <w:t>年9月2</w:t>
      </w:r>
      <w:r>
        <w:rPr>
          <w:rFonts w:ascii="仿宋" w:hAnsi="仿宋" w:eastAsia="仿宋"/>
          <w:sz w:val="28"/>
          <w:szCs w:val="28"/>
        </w:rPr>
        <w:t>8</w:t>
      </w:r>
      <w:r>
        <w:rPr>
          <w:rFonts w:hint="eastAsia" w:ascii="仿宋" w:hAnsi="仿宋" w:eastAsia="仿宋"/>
          <w:sz w:val="28"/>
          <w:szCs w:val="28"/>
        </w:rPr>
        <w:t>日缴回丽水市财政局库款户。</w:t>
      </w:r>
    </w:p>
    <w:p>
      <w:pPr>
        <w:spacing w:line="560" w:lineRule="exact"/>
        <w:ind w:firstLine="562" w:firstLineChars="200"/>
        <w:rPr>
          <w:rFonts w:ascii="仿宋" w:hAnsi="仿宋" w:eastAsia="仿宋"/>
          <w:b/>
          <w:bCs/>
          <w:sz w:val="28"/>
          <w:szCs w:val="28"/>
        </w:rPr>
      </w:pPr>
      <w:r>
        <w:rPr>
          <w:rFonts w:ascii="仿宋" w:hAnsi="仿宋" w:eastAsia="仿宋"/>
          <w:b/>
          <w:bCs/>
          <w:sz w:val="28"/>
          <w:szCs w:val="28"/>
        </w:rPr>
        <w:t>4</w:t>
      </w:r>
      <w:r>
        <w:rPr>
          <w:rFonts w:hint="eastAsia" w:ascii="仿宋" w:hAnsi="仿宋" w:eastAsia="仿宋"/>
          <w:b/>
          <w:bCs/>
          <w:sz w:val="28"/>
          <w:szCs w:val="28"/>
        </w:rPr>
        <w:t>、民融业务管理不够规范</w:t>
      </w:r>
    </w:p>
    <w:p>
      <w:pPr>
        <w:spacing w:line="560" w:lineRule="exact"/>
        <w:ind w:firstLine="420" w:firstLineChars="150"/>
        <w:rPr>
          <w:rFonts w:hint="eastAsia" w:ascii="仿宋" w:hAnsi="仿宋" w:eastAsia="仿宋"/>
          <w:sz w:val="28"/>
          <w:szCs w:val="28"/>
        </w:rPr>
      </w:pPr>
      <w:r>
        <w:rPr>
          <w:rFonts w:hint="eastAsia" w:ascii="仿宋" w:hAnsi="仿宋" w:eastAsia="仿宋"/>
          <w:sz w:val="28"/>
          <w:szCs w:val="28"/>
        </w:rPr>
        <w:t>（1）</w:t>
      </w:r>
      <w:bookmarkStart w:id="21" w:name="_Hlk78838874"/>
      <w:r>
        <w:rPr>
          <w:rFonts w:hint="eastAsia" w:ascii="仿宋" w:hAnsi="仿宋" w:eastAsia="仿宋"/>
          <w:sz w:val="28"/>
          <w:szCs w:val="28"/>
        </w:rPr>
        <w:t>融资服务方式不够灵活规范。民融中心服务费未写入借款合同，且服务费要提前收取不得退还，体制上不够灵活，也给可以提前还款的客户加大了资金成本负担。</w:t>
      </w:r>
      <w:bookmarkEnd w:id="21"/>
    </w:p>
    <w:p>
      <w:pPr>
        <w:spacing w:line="560" w:lineRule="exact"/>
        <w:ind w:firstLine="420" w:firstLineChars="150"/>
        <w:rPr>
          <w:rFonts w:ascii="仿宋" w:hAnsi="仿宋" w:eastAsia="仿宋"/>
          <w:b/>
          <w:bCs/>
          <w:sz w:val="28"/>
          <w:szCs w:val="28"/>
        </w:rPr>
      </w:pP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）缺乏相应的法律支助。据调查了解，民融中心缺乏如司法部门为民融中心借贷活动作出风险提示及提供必要的金融司法查询服务；缺乏针对地方金融组织发生借贷业务应具有强制执行效力的公证债权文书。</w:t>
      </w:r>
    </w:p>
    <w:p>
      <w:pPr>
        <w:spacing w:line="560" w:lineRule="exact"/>
        <w:ind w:firstLine="422" w:firstLineChars="150"/>
        <w:rPr>
          <w:rFonts w:ascii="仿宋" w:hAnsi="仿宋" w:eastAsia="仿宋"/>
          <w:b/>
          <w:bCs/>
          <w:sz w:val="28"/>
          <w:szCs w:val="28"/>
        </w:rPr>
      </w:pPr>
      <w:r>
        <w:rPr>
          <w:rFonts w:hint="eastAsia" w:ascii="仿宋" w:hAnsi="仿宋" w:eastAsia="仿宋"/>
          <w:b/>
          <w:bCs/>
          <w:sz w:val="28"/>
          <w:szCs w:val="28"/>
        </w:rPr>
        <w:t>（七）相关建议</w:t>
      </w:r>
    </w:p>
    <w:p>
      <w:pPr>
        <w:spacing w:line="560" w:lineRule="exact"/>
        <w:ind w:firstLine="691" w:firstLineChars="246"/>
        <w:rPr>
          <w:rFonts w:ascii="仿宋" w:hAnsi="仿宋" w:eastAsia="仿宋"/>
          <w:b/>
          <w:sz w:val="28"/>
          <w:szCs w:val="28"/>
        </w:rPr>
      </w:pPr>
      <w:r>
        <w:rPr>
          <w:rFonts w:hint="eastAsia" w:ascii="仿宋" w:hAnsi="仿宋" w:eastAsia="仿宋"/>
          <w:b/>
          <w:sz w:val="28"/>
          <w:szCs w:val="28"/>
        </w:rPr>
        <w:t>1、加强绩效目标规范编制</w:t>
      </w:r>
    </w:p>
    <w:p>
      <w:pPr>
        <w:adjustRightInd w:val="0"/>
        <w:snapToGrid w:val="0"/>
        <w:spacing w:line="560" w:lineRule="exact"/>
        <w:ind w:firstLine="560" w:firstLineChars="200"/>
        <w:rPr>
          <w:rFonts w:ascii="仿宋" w:hAnsi="仿宋" w:eastAsia="仿宋"/>
          <w:b/>
          <w:sz w:val="28"/>
          <w:szCs w:val="28"/>
        </w:rPr>
      </w:pPr>
      <w:r>
        <w:rPr>
          <w:rFonts w:hint="eastAsia" w:ascii="仿宋" w:hAnsi="仿宋" w:eastAsia="仿宋"/>
          <w:sz w:val="28"/>
          <w:szCs w:val="28"/>
        </w:rPr>
        <w:t>建议市金融办应认真贯彻落实《中共丽水市委、丽水市人民政府关于全面实施预算绩效管理的若干意见》（丽委发﹝</w:t>
      </w:r>
      <w:r>
        <w:rPr>
          <w:rFonts w:ascii="仿宋" w:hAnsi="仿宋" w:eastAsia="仿宋"/>
          <w:sz w:val="28"/>
          <w:szCs w:val="28"/>
        </w:rPr>
        <w:t>2019﹞24号）</w:t>
      </w:r>
      <w:r>
        <w:rPr>
          <w:rFonts w:hint="eastAsia" w:ascii="仿宋" w:hAnsi="仿宋" w:eastAsia="仿宋"/>
          <w:sz w:val="28"/>
          <w:szCs w:val="28"/>
        </w:rPr>
        <w:t>和</w:t>
      </w:r>
      <w:bookmarkStart w:id="22" w:name="_Hlk78839418"/>
      <w:r>
        <w:rPr>
          <w:rFonts w:hint="eastAsia" w:ascii="仿宋" w:hAnsi="仿宋" w:eastAsia="仿宋"/>
          <w:sz w:val="28"/>
          <w:szCs w:val="28"/>
        </w:rPr>
        <w:t>《丽水市人民政府办公室关于丽水市开展民间融资服务中心试点工作的实施意见》（丽政办发明电〔</w:t>
      </w:r>
      <w:r>
        <w:rPr>
          <w:rFonts w:ascii="仿宋" w:hAnsi="仿宋" w:eastAsia="仿宋"/>
          <w:sz w:val="28"/>
          <w:szCs w:val="28"/>
        </w:rPr>
        <w:t>2014〕83号）</w:t>
      </w:r>
      <w:bookmarkEnd w:id="22"/>
      <w:r>
        <w:rPr>
          <w:rFonts w:ascii="仿宋" w:hAnsi="仿宋" w:eastAsia="仿宋"/>
          <w:sz w:val="28"/>
          <w:szCs w:val="28"/>
        </w:rPr>
        <w:t>等文件规定</w:t>
      </w:r>
      <w:r>
        <w:rPr>
          <w:rFonts w:hint="eastAsia" w:ascii="仿宋" w:hAnsi="仿宋" w:eastAsia="仿宋"/>
          <w:sz w:val="28"/>
          <w:szCs w:val="28"/>
        </w:rPr>
        <w:t>，加强对民融扶持政策专项资金的绩效管理。对每年预算安排的专项资金</w:t>
      </w:r>
      <w:r>
        <w:rPr>
          <w:rFonts w:ascii="仿宋" w:hAnsi="仿宋" w:eastAsia="仿宋"/>
          <w:sz w:val="28"/>
          <w:szCs w:val="28"/>
        </w:rPr>
        <w:t>，</w:t>
      </w:r>
      <w:r>
        <w:rPr>
          <w:rFonts w:hint="eastAsia" w:ascii="仿宋" w:hAnsi="仿宋" w:eastAsia="仿宋"/>
          <w:sz w:val="28"/>
          <w:szCs w:val="28"/>
        </w:rPr>
        <w:t>应结合公司实际，</w:t>
      </w:r>
      <w:r>
        <w:rPr>
          <w:rFonts w:ascii="仿宋" w:hAnsi="仿宋" w:eastAsia="仿宋"/>
          <w:sz w:val="28"/>
          <w:szCs w:val="28"/>
        </w:rPr>
        <w:t>科学合理地编制预算绩效目标。</w:t>
      </w:r>
      <w:r>
        <w:rPr>
          <w:rFonts w:hint="eastAsia" w:ascii="仿宋" w:hAnsi="仿宋" w:eastAsia="仿宋"/>
          <w:sz w:val="28"/>
          <w:szCs w:val="28"/>
        </w:rPr>
        <w:t>通过绩效目标的编制，明确年度工作重点和项目实施计划，增强项目实施的计划性和系统性。从数量目标、质量目标、进度目标及经济效益、社会效益等方面来确定项目预期绩效目标，对政策资金扶持方向、资金使用范围、用途等方面的规定应引导详细，如在支持中小微企业和“三农”发展，缓解“小微企业融资难”和“民间资金投资难”两难问题上，应该有具体的服务量化指标。同时加强政策实施过程的绩效跟踪监控，以及周期结束后的绩效评价进行全过程管理，确保政策发挥应有的效益。</w:t>
      </w:r>
    </w:p>
    <w:p>
      <w:pPr>
        <w:adjustRightInd w:val="0"/>
        <w:snapToGrid w:val="0"/>
        <w:spacing w:line="560" w:lineRule="exact"/>
        <w:ind w:firstLine="551" w:firstLineChars="196"/>
        <w:rPr>
          <w:rFonts w:hint="eastAsia"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、加强财政补助资金的全过程管理</w:t>
      </w:r>
    </w:p>
    <w:p>
      <w:pPr>
        <w:adjustRightInd w:val="0"/>
        <w:snapToGrid w:val="0"/>
        <w:spacing w:line="560" w:lineRule="exact"/>
        <w:ind w:firstLine="548" w:firstLineChars="196"/>
        <w:rPr>
          <w:rFonts w:hint="eastAsia" w:ascii="仿宋" w:hAnsi="仿宋" w:eastAsia="仿宋"/>
          <w:sz w:val="28"/>
          <w:szCs w:val="28"/>
        </w:rPr>
      </w:pPr>
      <w:r>
        <w:rPr>
          <w:rFonts w:hint="eastAsia" w:ascii="仿宋" w:hAnsi="仿宋" w:eastAsia="仿宋"/>
          <w:sz w:val="28"/>
          <w:szCs w:val="28"/>
        </w:rPr>
        <w:t>首先，民间融资服务中心应严格按照《丽水市金融业扶持专项资金管理办法》（丽财企〔</w:t>
      </w:r>
      <w:r>
        <w:rPr>
          <w:rFonts w:ascii="仿宋" w:hAnsi="仿宋" w:eastAsia="仿宋"/>
          <w:sz w:val="28"/>
          <w:szCs w:val="28"/>
        </w:rPr>
        <w:t>2017〕224号）</w:t>
      </w:r>
      <w:r>
        <w:rPr>
          <w:rFonts w:hint="eastAsia" w:ascii="仿宋" w:hAnsi="仿宋" w:eastAsia="仿宋"/>
          <w:sz w:val="28"/>
          <w:szCs w:val="28"/>
        </w:rPr>
        <w:t>及增值税和企业所得税等相关税收政策的</w:t>
      </w:r>
      <w:r>
        <w:rPr>
          <w:rFonts w:ascii="仿宋" w:hAnsi="仿宋" w:eastAsia="仿宋"/>
          <w:sz w:val="28"/>
          <w:szCs w:val="28"/>
        </w:rPr>
        <w:t>要求</w:t>
      </w:r>
      <w:r>
        <w:rPr>
          <w:rFonts w:hint="eastAsia" w:ascii="仿宋" w:hAnsi="仿宋" w:eastAsia="仿宋"/>
          <w:sz w:val="28"/>
          <w:szCs w:val="28"/>
        </w:rPr>
        <w:t>申报补助资金；其次，业务主管部门市金融办应严格审核把关，及时与税务部门的沟通对接，在出具初审意见时应以企业所得税汇算清缴报告和最新的完税证明为审核依据，同时加强资金兑付后的跟踪监控，确保资金规范兑付、规范使用，避免财政资金损失。</w:t>
      </w:r>
    </w:p>
    <w:p>
      <w:pPr>
        <w:pStyle w:val="3"/>
        <w:shd w:val="clear" w:color="auto" w:fill="FFFFFF"/>
        <w:spacing w:before="0" w:beforeAutospacing="0" w:after="0" w:afterAutospacing="0" w:line="560" w:lineRule="exact"/>
        <w:ind w:firstLine="562" w:firstLineChars="200"/>
        <w:rPr>
          <w:rFonts w:hint="eastAsia" w:ascii="仿宋" w:hAnsi="仿宋" w:eastAsia="仿宋" w:cs="Times New Roman"/>
          <w:b/>
          <w:kern w:val="2"/>
          <w:sz w:val="28"/>
          <w:szCs w:val="28"/>
        </w:rPr>
      </w:pPr>
      <w:r>
        <w:rPr>
          <w:rFonts w:ascii="仿宋" w:hAnsi="仿宋" w:eastAsia="仿宋" w:cs="Times New Roman"/>
          <w:b/>
          <w:kern w:val="2"/>
          <w:sz w:val="28"/>
          <w:szCs w:val="28"/>
        </w:rPr>
        <w:t>3</w:t>
      </w:r>
      <w:r>
        <w:rPr>
          <w:rFonts w:hint="eastAsia" w:ascii="仿宋" w:hAnsi="仿宋" w:eastAsia="仿宋" w:cs="Times New Roman"/>
          <w:b/>
          <w:kern w:val="2"/>
          <w:sz w:val="28"/>
          <w:szCs w:val="28"/>
        </w:rPr>
        <w:t>、规范业务管理，完善民融扶持政策体制。</w:t>
      </w:r>
    </w:p>
    <w:p>
      <w:pPr>
        <w:adjustRightInd w:val="0"/>
        <w:snapToGrid w:val="0"/>
        <w:spacing w:line="560" w:lineRule="exact"/>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民间融资服务中心作为民间融资服务的规范主体，在阳光化操作和市场化运作，以及改善小微企业投融资环境、助力解决民间融资难，防范金融风险，稳定社会等方面均起到较好的作用。但作为一个新模式，尚有许多方面需要改进和探索，如在体制上，严格把关民融中心股东准入制，提高民融中心整体经营素质，民融中心应在经营上以服务小微企业和民间群体，制度上尽可能灵活，高效率，坚持以降低利率，保持适当的盈利为出发点。同时建议市金融办等相关部门继续落实《</w:t>
      </w:r>
      <w:r>
        <w:rPr>
          <w:rFonts w:hint="eastAsia" w:ascii="仿宋" w:hAnsi="仿宋" w:eastAsia="仿宋"/>
          <w:sz w:val="28"/>
          <w:szCs w:val="28"/>
        </w:rPr>
        <w:t>丽水市人民政府办公室关于丽水市开展民间融资服务中心试点工作的实施意见</w:t>
      </w:r>
      <w:r>
        <w:rPr>
          <w:rFonts w:hint="eastAsia" w:ascii="仿宋" w:hAnsi="仿宋" w:eastAsia="仿宋" w:cs="宋体"/>
          <w:kern w:val="0"/>
          <w:sz w:val="28"/>
          <w:szCs w:val="28"/>
        </w:rPr>
        <w:t>》（丽政办发明电〔</w:t>
      </w:r>
      <w:r>
        <w:rPr>
          <w:rFonts w:ascii="仿宋" w:hAnsi="仿宋" w:eastAsia="仿宋" w:cs="宋体"/>
          <w:kern w:val="0"/>
          <w:sz w:val="28"/>
          <w:szCs w:val="28"/>
        </w:rPr>
        <w:t>2014〕83号）</w:t>
      </w:r>
      <w:r>
        <w:rPr>
          <w:rFonts w:hint="eastAsia" w:ascii="仿宋" w:hAnsi="仿宋" w:eastAsia="仿宋" w:cs="宋体"/>
          <w:kern w:val="0"/>
          <w:sz w:val="28"/>
          <w:szCs w:val="28"/>
        </w:rPr>
        <w:t>的文件精神，加强对民融中心的监管和指导，并从制度上、业务上给予更多的支持，以促进民融服务中心更好地持续健康发展，为地方经济发展作出应有的贡献。</w:t>
      </w:r>
    </w:p>
    <w:p>
      <w:pPr>
        <w:pStyle w:val="2"/>
        <w:rPr>
          <w:rFonts w:hint="eastAsia" w:ascii="宋体" w:hAnsi="宋体" w:eastAsia="宋体" w:cs="宋体"/>
          <w:b w:val="0"/>
          <w:bCs w:val="0"/>
          <w:color w:val="auto"/>
          <w:sz w:val="32"/>
          <w:szCs w:val="32"/>
          <w:lang w:eastAsia="zh-CN"/>
        </w:rPr>
      </w:pPr>
    </w:p>
    <w:p>
      <w:pPr>
        <w:pStyle w:val="2"/>
        <w:rPr>
          <w:rFonts w:hint="eastAsia" w:ascii="宋体" w:hAnsi="宋体" w:eastAsia="宋体" w:cs="宋体"/>
          <w:b w:val="0"/>
          <w:bCs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仿宋_GB2312" w:eastAsia="仿宋_GB2312"/>
          <w:sz w:val="32"/>
          <w:u w:val="none"/>
          <w:lang w:val="en"/>
        </w:rPr>
      </w:pPr>
      <w:r>
        <w:rPr>
          <w:rFonts w:hint="eastAsia" w:ascii="仿宋_GB2312" w:eastAsia="仿宋_GB2312" w:cs="仿宋_GB2312"/>
          <w:kern w:val="0"/>
          <w:sz w:val="28"/>
          <w:szCs w:val="28"/>
        </w:rPr>
        <w:t>（第三方评价机构：</w:t>
      </w:r>
      <w:r>
        <w:rPr>
          <w:rFonts w:hint="eastAsia" w:ascii="仿宋" w:hAnsi="仿宋" w:eastAsia="仿宋" w:cs="宋体"/>
          <w:kern w:val="0"/>
          <w:sz w:val="30"/>
          <w:szCs w:val="30"/>
        </w:rPr>
        <w:t>丽水市汇福财务培训有限公司</w:t>
      </w:r>
      <w:r>
        <w:rPr>
          <w:rFonts w:hint="default" w:ascii="仿宋_GB2312" w:eastAsia="仿宋_GB2312"/>
          <w:sz w:val="32"/>
          <w:u w:val="none"/>
          <w:lang w:val="en"/>
        </w:rPr>
        <w:t>）</w:t>
      </w: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pStyle w:val="2"/>
        <w:rPr>
          <w:rFonts w:hint="default" w:ascii="仿宋_GB2312" w:eastAsia="仿宋_GB2312"/>
          <w:sz w:val="32"/>
          <w:u w:val="none"/>
          <w:lang w:val="en"/>
        </w:rPr>
      </w:pPr>
    </w:p>
    <w:p>
      <w:pPr>
        <w:widowControl/>
        <w:jc w:val="both"/>
        <w:rPr>
          <w:rFonts w:hint="eastAsia" w:ascii="仿宋_GB2312" w:hAnsi="仿宋_GB2312" w:eastAsia="仿宋_GB2312" w:cs="仿宋_GB2312"/>
          <w:b/>
          <w:bCs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BD6ED3"/>
    <w:multiLevelType w:val="multilevel"/>
    <w:tmpl w:val="7EBD6ED3"/>
    <w:lvl w:ilvl="0" w:tentative="0">
      <w:start w:val="1"/>
      <w:numFmt w:val="japaneseCounting"/>
      <w:lvlText w:val="（%1）"/>
      <w:lvlJc w:val="left"/>
      <w:pPr>
        <w:ind w:left="1447" w:hanging="88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2DE51640"/>
    <w:rsid w:val="2DE51640"/>
    <w:rsid w:val="7BC85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widowControl/>
      <w:jc w:val="left"/>
    </w:pPr>
    <w:rPr>
      <w:rFonts w:ascii="Times New Roman" w:hAnsi="Times New Roman"/>
      <w:kern w:val="0"/>
      <w:sz w:val="24"/>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5475</Words>
  <Characters>5901</Characters>
  <Lines>0</Lines>
  <Paragraphs>0</Paragraphs>
  <TotalTime>0</TotalTime>
  <ScaleCrop>false</ScaleCrop>
  <LinksUpToDate>false</LinksUpToDate>
  <CharactersWithSpaces>5913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2022-02-21T00:52:00Z</dcterms:created>
  <dc:creator>a</dc:creator>
  <cp:lastModifiedBy>Icarus</cp:lastModifiedBy>
  <dcterms:modified xsi:type="dcterms:W3CDTF">2023-06-02T01:32:06Z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CADCAC0F1B4A42958A49C9A159FA8ED9_12</vt:lpwstr>
  </property>
</Properties>
</file>