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widowControl w:val="0"/>
        <w:spacing w:before="0" w:beforeAutospacing="0" w:after="0" w:afterAutospacing="0" w:line="500" w:lineRule="exact"/>
        <w:jc w:val="left"/>
        <w:rPr>
          <w:rFonts w:hint="eastAsia" w:ascii="黑体" w:hAnsi="黑体" w:eastAsia="黑体" w:cs="黑体"/>
          <w:b w:val="0"/>
          <w:kern w:val="2"/>
          <w:sz w:val="32"/>
          <w:szCs w:val="32"/>
          <w:lang w:val="en-US"/>
        </w:rPr>
      </w:pPr>
      <w:r>
        <w:rPr>
          <w:rFonts w:hint="eastAsia" w:ascii="黑体" w:hAnsi="黑体" w:eastAsia="黑体" w:cs="黑体"/>
          <w:b w:val="0"/>
          <w:kern w:val="2"/>
          <w:sz w:val="32"/>
          <w:szCs w:val="32"/>
          <w:lang w:val="en-US"/>
        </w:rPr>
        <w:t>附件1</w:t>
      </w:r>
    </w:p>
    <w:p>
      <w:pPr>
        <w:pStyle w:val="2"/>
        <w:keepNext/>
        <w:keepLines/>
        <w:widowControl w:val="0"/>
        <w:spacing w:before="0" w:beforeAutospacing="0" w:after="0" w:afterAutospacing="0" w:line="500" w:lineRule="exact"/>
        <w:jc w:val="center"/>
        <w:rPr>
          <w:rFonts w:hint="eastAsia" w:ascii="Times New Roman" w:hAnsi="Times New Roman" w:eastAsia="方正小标宋简体" w:cs="Times New Roman"/>
          <w:b w:val="0"/>
          <w:kern w:val="2"/>
          <w:sz w:val="44"/>
          <w:szCs w:val="44"/>
        </w:rPr>
      </w:pPr>
      <w:r>
        <w:rPr>
          <w:rFonts w:hint="eastAsia" w:ascii="Times New Roman" w:hAnsi="Times New Roman" w:eastAsia="方正小标宋简体" w:cs="Times New Roman"/>
          <w:b w:val="0"/>
          <w:kern w:val="2"/>
          <w:sz w:val="44"/>
          <w:szCs w:val="44"/>
        </w:rPr>
        <w:t>征地补偿安置方案</w:t>
      </w:r>
    </w:p>
    <w:p>
      <w:pPr>
        <w:pStyle w:val="2"/>
        <w:keepNext/>
        <w:keepLines/>
        <w:widowControl w:val="0"/>
        <w:spacing w:before="0" w:beforeAutospacing="0" w:after="0" w:afterAutospacing="0" w:line="600" w:lineRule="exact"/>
        <w:jc w:val="center"/>
        <w:rPr>
          <w:rFonts w:hint="eastAsia" w:ascii="仿宋_GB2312" w:hAnsi="仿宋_GB2312" w:eastAsia="仿宋_GB2312" w:cs="Times New Roman"/>
          <w:b w:val="0"/>
          <w:kern w:val="2"/>
          <w:sz w:val="32"/>
          <w:szCs w:val="32"/>
          <w:lang w:val="en-US" w:eastAsia="zh-CN" w:bidi="ar-SA"/>
        </w:rPr>
      </w:pPr>
      <w:r>
        <w:rPr>
          <w:rFonts w:hint="eastAsia" w:ascii="仿宋_GB2312" w:hAnsi="仿宋_GB2312" w:eastAsia="仿宋_GB2312" w:cs="Times New Roman"/>
          <w:b w:val="0"/>
          <w:kern w:val="2"/>
          <w:sz w:val="32"/>
          <w:szCs w:val="32"/>
          <w:lang w:val="en-US" w:eastAsia="zh-CN" w:bidi="ar-SA"/>
        </w:rPr>
        <w:t>〔202</w:t>
      </w:r>
      <w:r>
        <w:rPr>
          <w:rFonts w:hint="eastAsia" w:ascii="仿宋_GB2312" w:hAnsi="仿宋_GB2312" w:cs="Times New Roman"/>
          <w:b w:val="0"/>
          <w:kern w:val="2"/>
          <w:sz w:val="32"/>
          <w:szCs w:val="32"/>
          <w:lang w:val="en-US" w:eastAsia="zh-CN" w:bidi="ar-SA"/>
        </w:rPr>
        <w:t>5</w:t>
      </w:r>
      <w:r>
        <w:rPr>
          <w:rFonts w:hint="eastAsia" w:ascii="仿宋_GB2312" w:hAnsi="仿宋_GB2312" w:eastAsia="仿宋_GB2312" w:cs="Times New Roman"/>
          <w:b w:val="0"/>
          <w:kern w:val="2"/>
          <w:sz w:val="32"/>
          <w:szCs w:val="32"/>
          <w:lang w:val="en-US" w:eastAsia="zh-CN" w:bidi="ar-SA"/>
        </w:rPr>
        <w:t>〕</w:t>
      </w:r>
      <w:r>
        <w:rPr>
          <w:rFonts w:hint="default" w:ascii="仿宋_GB2312" w:hAnsi="仿宋_GB2312" w:cs="Times New Roman"/>
          <w:b w:val="0"/>
          <w:kern w:val="2"/>
          <w:sz w:val="32"/>
          <w:szCs w:val="32"/>
          <w:lang w:val="en-US" w:eastAsia="zh-CN" w:bidi="ar-SA"/>
        </w:rPr>
        <w:t>1</w:t>
      </w:r>
      <w:r>
        <w:rPr>
          <w:rFonts w:hint="eastAsia" w:ascii="仿宋_GB2312" w:hAnsi="仿宋_GB2312" w:eastAsia="仿宋_GB2312" w:cs="Times New Roman"/>
          <w:b w:val="0"/>
          <w:kern w:val="2"/>
          <w:sz w:val="32"/>
          <w:szCs w:val="32"/>
          <w:lang w:val="en-US" w:eastAsia="zh-CN" w:bidi="ar-SA"/>
        </w:rPr>
        <w:t>号</w:t>
      </w:r>
    </w:p>
    <w:p>
      <w:pPr>
        <w:spacing w:before="156" w:beforeLines="50" w:line="420" w:lineRule="exact"/>
        <w:ind w:firstLine="480" w:firstLineChars="200"/>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b/>
          <w:bCs/>
          <w:sz w:val="32"/>
          <w:szCs w:val="32"/>
        </w:rPr>
      </w:pPr>
      <w:r>
        <w:rPr>
          <w:rFonts w:hint="eastAsia" w:ascii="仿宋_GB2312" w:hAnsi="仿宋_GB2312" w:eastAsia="仿宋_GB2312"/>
          <w:sz w:val="32"/>
          <w:szCs w:val="32"/>
        </w:rPr>
        <w:t>根据《中华人民共和国土地管理法》等有关规定，拟定本次《征地补偿安置方案》。</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sz w:val="32"/>
          <w:szCs w:val="32"/>
        </w:rPr>
      </w:pPr>
      <w:r>
        <w:rPr>
          <w:rFonts w:hint="eastAsia" w:ascii="黑体" w:hAnsi="黑体" w:eastAsia="黑体" w:cs="黑体"/>
          <w:b w:val="0"/>
          <w:bCs w:val="0"/>
          <w:sz w:val="32"/>
          <w:szCs w:val="32"/>
        </w:rPr>
        <w:t>一、征收目的、范围及土地现状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hAnsi="仿宋_GB2312" w:eastAsia="仿宋_GB2312"/>
          <w:sz w:val="32"/>
          <w:szCs w:val="32"/>
        </w:rPr>
        <w:t>因</w:t>
      </w:r>
      <w:r>
        <w:rPr>
          <w:rFonts w:hint="eastAsia" w:ascii="仿宋_GB2312" w:hAnsi="仿宋_GB2312" w:eastAsia="仿宋_GB2312" w:cs="仿宋_GB2312"/>
          <w:i w:val="0"/>
          <w:caps w:val="0"/>
          <w:color w:val="000000"/>
          <w:spacing w:val="0"/>
          <w:sz w:val="32"/>
          <w:szCs w:val="32"/>
          <w:shd w:val="clear" w:fill="FFFFFF"/>
          <w:lang w:val="en-US" w:eastAsia="zh-CN"/>
        </w:rPr>
        <w:t>丽水南城小白岩城中村改造前期项目</w:t>
      </w:r>
      <w:r>
        <w:rPr>
          <w:rFonts w:hint="eastAsia" w:ascii="仿宋_GB2312" w:hAnsi="仿宋_GB2312" w:eastAsia="仿宋_GB2312"/>
          <w:sz w:val="32"/>
          <w:szCs w:val="32"/>
        </w:rPr>
        <w:t>建设需要，需征</w:t>
      </w:r>
      <w:bookmarkStart w:id="0" w:name="_GoBack"/>
      <w:bookmarkEnd w:id="0"/>
      <w:r>
        <w:rPr>
          <w:rFonts w:hint="eastAsia" w:ascii="仿宋_GB2312" w:hAnsi="仿宋_GB2312" w:eastAsia="仿宋_GB2312"/>
          <w:sz w:val="32"/>
          <w:szCs w:val="32"/>
        </w:rPr>
        <w:t>收</w:t>
      </w:r>
      <w:r>
        <w:rPr>
          <w:rFonts w:hint="eastAsia" w:ascii="仿宋_GB2312"/>
          <w:sz w:val="32"/>
          <w:szCs w:val="32"/>
          <w:lang w:val="en-US" w:eastAsia="zh-CN"/>
        </w:rPr>
        <w:t>南明山街道垟店</w:t>
      </w:r>
      <w:r>
        <w:rPr>
          <w:rFonts w:hint="eastAsia" w:ascii="仿宋_GB2312" w:eastAsia="仿宋_GB2312"/>
          <w:sz w:val="32"/>
          <w:szCs w:val="32"/>
          <w:lang w:val="en-US" w:eastAsia="zh-CN"/>
        </w:rPr>
        <w:t>村</w:t>
      </w:r>
      <w:r>
        <w:rPr>
          <w:rFonts w:hint="eastAsia" w:ascii="仿宋_GB2312"/>
          <w:sz w:val="32"/>
          <w:szCs w:val="32"/>
          <w:lang w:val="en-US" w:eastAsia="zh-CN"/>
        </w:rPr>
        <w:t>农民</w:t>
      </w:r>
      <w:r>
        <w:rPr>
          <w:rFonts w:hint="eastAsia" w:ascii="仿宋_GB2312" w:eastAsia="仿宋_GB2312"/>
          <w:sz w:val="32"/>
          <w:szCs w:val="32"/>
        </w:rPr>
        <w:t>集体所有土地</w:t>
      </w:r>
      <w:r>
        <w:rPr>
          <w:rFonts w:hint="eastAsia" w:ascii="仿宋_GB2312"/>
          <w:sz w:val="32"/>
          <w:szCs w:val="32"/>
          <w:lang w:val="en-US" w:eastAsia="zh-CN"/>
        </w:rPr>
        <w:t>3.6522</w:t>
      </w:r>
      <w:r>
        <w:rPr>
          <w:rFonts w:hint="eastAsia" w:ascii="仿宋_GB2312" w:eastAsia="仿宋_GB2312"/>
          <w:sz w:val="32"/>
          <w:szCs w:val="32"/>
        </w:rPr>
        <w:t>公顷</w:t>
      </w:r>
      <w:r>
        <w:rPr>
          <w:rFonts w:hint="eastAsia" w:ascii="仿宋_GB2312" w:hAnsi="仿宋_GB2312" w:eastAsia="仿宋_GB2312"/>
          <w:sz w:val="32"/>
          <w:szCs w:val="32"/>
        </w:rPr>
        <w:t>，其</w:t>
      </w:r>
      <w:r>
        <w:rPr>
          <w:rFonts w:hint="eastAsia" w:ascii="仿宋_GB2312" w:eastAsia="仿宋_GB2312"/>
          <w:sz w:val="32"/>
          <w:szCs w:val="32"/>
        </w:rPr>
        <w:t>中</w:t>
      </w:r>
      <w:r>
        <w:rPr>
          <w:rFonts w:hint="eastAsia" w:ascii="仿宋_GB2312" w:eastAsia="仿宋_GB2312"/>
          <w:sz w:val="32"/>
          <w:szCs w:val="32"/>
          <w:lang w:val="en-US" w:eastAsia="zh-CN"/>
        </w:rPr>
        <w:t>耕地0.8747公顷、园地1.2818公顷、农村道路0.3354公顷、坑塘水面0.1095公顷、农村宅基地1.0508公顷。</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二、征收土地补偿标准、安置方式及保障内容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1.</w:t>
      </w:r>
      <w:r>
        <w:rPr>
          <w:rFonts w:hint="default" w:ascii="仿宋_GB2312" w:eastAsia="仿宋_GB2312"/>
          <w:sz w:val="32"/>
          <w:szCs w:val="32"/>
        </w:rPr>
        <w:t>征地区片综合地价包括土地补偿费和安置补助费。按《丽水市人民政府办公室关于重新公布丽水市市区征收集体土地区片综合地价补偿标准的通知》（丽政办发〔2023〕62号</w:t>
      </w:r>
      <w:r>
        <w:rPr>
          <w:rFonts w:hint="default" w:ascii="仿宋_GB2312" w:eastAsia="仿宋_GB2312"/>
          <w:sz w:val="32"/>
          <w:szCs w:val="32"/>
          <w:lang w:eastAsia="zh-CN"/>
        </w:rPr>
        <w:t>）</w:t>
      </w:r>
      <w:r>
        <w:rPr>
          <w:rFonts w:hint="default" w:ascii="仿宋_GB2312" w:eastAsia="仿宋_GB2312"/>
          <w:sz w:val="32"/>
          <w:szCs w:val="32"/>
        </w:rPr>
        <w:t>文件规定的征地区片综合地价补偿标准进行补偿，具体为：</w:t>
      </w:r>
    </w:p>
    <w:tbl>
      <w:tblPr>
        <w:tblStyle w:val="6"/>
        <w:tblW w:w="85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1"/>
        <w:gridCol w:w="1581"/>
        <w:gridCol w:w="1721"/>
        <w:gridCol w:w="1839"/>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blHeader/>
          <w:jc w:val="center"/>
        </w:trPr>
        <w:tc>
          <w:tcPr>
            <w:tcW w:w="1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地类名称</w:t>
            </w:r>
          </w:p>
        </w:tc>
        <w:tc>
          <w:tcPr>
            <w:tcW w:w="158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区片等级</w:t>
            </w:r>
          </w:p>
        </w:tc>
        <w:tc>
          <w:tcPr>
            <w:tcW w:w="1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面积（公顷）</w:t>
            </w:r>
          </w:p>
        </w:tc>
        <w:tc>
          <w:tcPr>
            <w:tcW w:w="183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补偿标准</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（万元/公顷）</w:t>
            </w:r>
          </w:p>
        </w:tc>
        <w:tc>
          <w:tcPr>
            <w:tcW w:w="165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补偿金额</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耕地</w:t>
            </w:r>
          </w:p>
        </w:tc>
        <w:tc>
          <w:tcPr>
            <w:tcW w:w="158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cs="仿宋_GB2312"/>
                <w:sz w:val="24"/>
                <w:szCs w:val="24"/>
                <w:lang w:val="en-US" w:eastAsia="zh-CN"/>
              </w:rPr>
              <w:t>一</w:t>
            </w:r>
            <w:r>
              <w:rPr>
                <w:rFonts w:hint="eastAsia" w:ascii="仿宋_GB2312" w:hAnsi="仿宋_GB2312" w:eastAsia="仿宋_GB2312" w:cs="仿宋_GB2312"/>
                <w:sz w:val="24"/>
                <w:szCs w:val="24"/>
              </w:rPr>
              <w:t>级区片</w:t>
            </w:r>
          </w:p>
        </w:tc>
        <w:tc>
          <w:tcPr>
            <w:tcW w:w="1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0.8747</w:t>
            </w:r>
          </w:p>
        </w:tc>
        <w:tc>
          <w:tcPr>
            <w:tcW w:w="183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144</w:t>
            </w:r>
          </w:p>
        </w:tc>
        <w:tc>
          <w:tcPr>
            <w:tcW w:w="165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56.46915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园</w:t>
            </w:r>
            <w:r>
              <w:rPr>
                <w:rFonts w:hint="eastAsia" w:ascii="仿宋_GB2312" w:hAnsi="仿宋_GB2312" w:eastAsia="仿宋_GB2312" w:cs="仿宋_GB2312"/>
                <w:sz w:val="24"/>
                <w:szCs w:val="24"/>
                <w:lang w:val="en-US" w:eastAsia="zh-CN"/>
              </w:rPr>
              <w:t>地</w:t>
            </w:r>
          </w:p>
        </w:tc>
        <w:tc>
          <w:tcPr>
            <w:tcW w:w="158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eastAsia="zh-CN"/>
              </w:rPr>
              <w:t>一</w:t>
            </w:r>
            <w:r>
              <w:rPr>
                <w:rFonts w:hint="eastAsia" w:ascii="仿宋_GB2312" w:hAnsi="仿宋_GB2312" w:eastAsia="仿宋_GB2312" w:cs="仿宋_GB2312"/>
                <w:sz w:val="24"/>
                <w:szCs w:val="24"/>
              </w:rPr>
              <w:t>级区片</w:t>
            </w:r>
          </w:p>
        </w:tc>
        <w:tc>
          <w:tcPr>
            <w:tcW w:w="1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1.2818</w:t>
            </w:r>
          </w:p>
        </w:tc>
        <w:tc>
          <w:tcPr>
            <w:tcW w:w="183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144</w:t>
            </w:r>
          </w:p>
        </w:tc>
        <w:tc>
          <w:tcPr>
            <w:tcW w:w="165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32.6529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sz w:val="24"/>
                <w:szCs w:val="24"/>
                <w:lang w:val="en-US" w:eastAsia="zh-CN"/>
              </w:rPr>
            </w:pPr>
            <w:r>
              <w:rPr>
                <w:rFonts w:hint="eastAsia" w:ascii="仿宋_GB2312" w:hAnsi="仿宋_GB2312" w:cs="仿宋_GB2312"/>
                <w:sz w:val="24"/>
                <w:szCs w:val="24"/>
                <w:lang w:val="en-US" w:eastAsia="zh-CN"/>
              </w:rPr>
              <w:t>农村道路</w:t>
            </w:r>
          </w:p>
        </w:tc>
        <w:tc>
          <w:tcPr>
            <w:tcW w:w="158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eastAsia="zh-CN"/>
              </w:rPr>
              <w:t>一</w:t>
            </w:r>
            <w:r>
              <w:rPr>
                <w:rFonts w:hint="eastAsia" w:ascii="仿宋_GB2312" w:hAnsi="仿宋_GB2312" w:eastAsia="仿宋_GB2312" w:cs="仿宋_GB2312"/>
                <w:sz w:val="24"/>
                <w:szCs w:val="24"/>
              </w:rPr>
              <w:t>级区片</w:t>
            </w:r>
          </w:p>
        </w:tc>
        <w:tc>
          <w:tcPr>
            <w:tcW w:w="1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cs="仿宋_GB2312"/>
                <w:sz w:val="24"/>
                <w:szCs w:val="24"/>
                <w:lang w:val="en-US" w:eastAsia="zh-CN"/>
              </w:rPr>
            </w:pPr>
            <w:r>
              <w:rPr>
                <w:rFonts w:hint="eastAsia" w:ascii="仿宋_GB2312" w:hAnsi="仿宋_GB2312" w:cs="仿宋_GB2312"/>
                <w:sz w:val="24"/>
                <w:szCs w:val="24"/>
                <w:lang w:val="en-US" w:eastAsia="zh-CN"/>
              </w:rPr>
              <w:t>0.3354</w:t>
            </w:r>
          </w:p>
        </w:tc>
        <w:tc>
          <w:tcPr>
            <w:tcW w:w="183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cs="仿宋_GB2312"/>
                <w:sz w:val="24"/>
                <w:szCs w:val="24"/>
                <w:lang w:val="en-US" w:eastAsia="zh-CN"/>
              </w:rPr>
            </w:pPr>
            <w:r>
              <w:rPr>
                <w:rFonts w:hint="eastAsia" w:ascii="仿宋_GB2312" w:hAnsi="仿宋_GB2312" w:cs="仿宋_GB2312"/>
                <w:sz w:val="24"/>
                <w:szCs w:val="24"/>
                <w:lang w:val="en-US" w:eastAsia="zh-CN"/>
              </w:rPr>
              <w:t>144</w:t>
            </w:r>
          </w:p>
        </w:tc>
        <w:tc>
          <w:tcPr>
            <w:tcW w:w="165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cs="仿宋_GB2312"/>
                <w:sz w:val="24"/>
                <w:szCs w:val="24"/>
                <w:lang w:val="en-US" w:eastAsia="zh-CN"/>
              </w:rPr>
            </w:pPr>
            <w:r>
              <w:rPr>
                <w:rFonts w:hint="eastAsia" w:ascii="仿宋_GB2312" w:hAnsi="仿宋_GB2312" w:cs="仿宋_GB2312"/>
                <w:sz w:val="24"/>
                <w:szCs w:val="24"/>
                <w:lang w:val="en-US" w:eastAsia="zh-CN"/>
              </w:rPr>
              <w:t>1.4652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sz w:val="24"/>
                <w:szCs w:val="24"/>
                <w:lang w:val="en-US" w:eastAsia="zh-CN"/>
              </w:rPr>
            </w:pPr>
            <w:r>
              <w:rPr>
                <w:rFonts w:hint="eastAsia" w:ascii="仿宋_GB2312" w:hAnsi="仿宋_GB2312" w:cs="仿宋_GB2312"/>
                <w:sz w:val="24"/>
                <w:szCs w:val="24"/>
                <w:lang w:val="en-US" w:eastAsia="zh-CN"/>
              </w:rPr>
              <w:t>水域水利设施（坑塘水面）</w:t>
            </w:r>
          </w:p>
        </w:tc>
        <w:tc>
          <w:tcPr>
            <w:tcW w:w="158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sz w:val="24"/>
                <w:szCs w:val="24"/>
                <w:lang w:val="en-US" w:eastAsia="zh-CN"/>
              </w:rPr>
            </w:pPr>
            <w:r>
              <w:rPr>
                <w:rFonts w:hint="eastAsia" w:ascii="仿宋_GB2312" w:hAnsi="仿宋_GB2312" w:cs="仿宋_GB2312"/>
                <w:sz w:val="24"/>
                <w:szCs w:val="24"/>
                <w:lang w:val="en-US" w:eastAsia="zh-CN"/>
              </w:rPr>
              <w:t>一级区片</w:t>
            </w:r>
          </w:p>
        </w:tc>
        <w:tc>
          <w:tcPr>
            <w:tcW w:w="1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cs="仿宋_GB2312"/>
                <w:sz w:val="24"/>
                <w:szCs w:val="24"/>
                <w:lang w:val="en-US" w:eastAsia="zh-CN"/>
              </w:rPr>
            </w:pPr>
            <w:r>
              <w:rPr>
                <w:rFonts w:hint="eastAsia" w:ascii="仿宋_GB2312" w:hAnsi="仿宋_GB2312" w:cs="仿宋_GB2312"/>
                <w:sz w:val="24"/>
                <w:szCs w:val="24"/>
                <w:lang w:val="en-US" w:eastAsia="zh-CN"/>
              </w:rPr>
              <w:t>0.1095</w:t>
            </w:r>
          </w:p>
        </w:tc>
        <w:tc>
          <w:tcPr>
            <w:tcW w:w="183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cs="仿宋_GB2312"/>
                <w:sz w:val="24"/>
                <w:szCs w:val="24"/>
                <w:lang w:val="en-US" w:eastAsia="zh-CN"/>
              </w:rPr>
            </w:pPr>
            <w:r>
              <w:rPr>
                <w:rFonts w:hint="eastAsia" w:ascii="仿宋_GB2312" w:hAnsi="仿宋_GB2312" w:cs="仿宋_GB2312"/>
                <w:sz w:val="24"/>
                <w:szCs w:val="24"/>
                <w:lang w:val="en-US" w:eastAsia="zh-CN"/>
              </w:rPr>
              <w:t>144</w:t>
            </w:r>
          </w:p>
        </w:tc>
        <w:tc>
          <w:tcPr>
            <w:tcW w:w="165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cs="仿宋_GB2312"/>
                <w:sz w:val="24"/>
                <w:szCs w:val="24"/>
                <w:lang w:val="en-US" w:eastAsia="zh-CN"/>
              </w:rPr>
            </w:pPr>
            <w:r>
              <w:rPr>
                <w:rFonts w:hint="eastAsia" w:ascii="仿宋_GB2312" w:hAnsi="仿宋_GB2312" w:cs="仿宋_GB2312"/>
                <w:sz w:val="24"/>
                <w:szCs w:val="24"/>
                <w:lang w:val="en-US" w:eastAsia="zh-CN"/>
              </w:rPr>
              <w:t>8.53005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cs="仿宋_GB2312"/>
                <w:sz w:val="24"/>
                <w:szCs w:val="24"/>
                <w:lang w:val="en-US" w:eastAsia="zh-CN"/>
              </w:rPr>
            </w:pPr>
            <w:r>
              <w:rPr>
                <w:rFonts w:hint="eastAsia" w:ascii="仿宋_GB2312" w:hAnsi="仿宋_GB2312" w:cs="仿宋_GB2312"/>
                <w:sz w:val="24"/>
                <w:szCs w:val="24"/>
                <w:lang w:val="en-US" w:eastAsia="zh-CN"/>
              </w:rPr>
              <w:t>农村宅基地</w:t>
            </w:r>
          </w:p>
        </w:tc>
        <w:tc>
          <w:tcPr>
            <w:tcW w:w="158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一级区片</w:t>
            </w:r>
          </w:p>
        </w:tc>
        <w:tc>
          <w:tcPr>
            <w:tcW w:w="1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cs="仿宋_GB2312"/>
                <w:sz w:val="24"/>
                <w:szCs w:val="24"/>
                <w:lang w:val="en-US" w:eastAsia="zh-CN"/>
              </w:rPr>
            </w:pPr>
            <w:r>
              <w:rPr>
                <w:rFonts w:hint="eastAsia" w:ascii="仿宋_GB2312" w:hAnsi="仿宋_GB2312" w:cs="仿宋_GB2312"/>
                <w:sz w:val="24"/>
                <w:szCs w:val="24"/>
                <w:lang w:val="en-US" w:eastAsia="zh-CN"/>
              </w:rPr>
              <w:t>1.0508</w:t>
            </w:r>
          </w:p>
        </w:tc>
        <w:tc>
          <w:tcPr>
            <w:tcW w:w="183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cs="仿宋_GB2312"/>
                <w:sz w:val="24"/>
                <w:szCs w:val="24"/>
                <w:lang w:val="en-US" w:eastAsia="zh-CN"/>
              </w:rPr>
            </w:pPr>
            <w:r>
              <w:rPr>
                <w:rFonts w:hint="eastAsia" w:ascii="仿宋_GB2312" w:hAnsi="仿宋_GB2312" w:cs="仿宋_GB2312"/>
                <w:sz w:val="24"/>
                <w:szCs w:val="24"/>
                <w:lang w:val="en-US" w:eastAsia="zh-CN"/>
              </w:rPr>
              <w:t>144</w:t>
            </w:r>
          </w:p>
        </w:tc>
        <w:tc>
          <w:tcPr>
            <w:tcW w:w="165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cs="仿宋_GB2312"/>
                <w:sz w:val="24"/>
                <w:szCs w:val="24"/>
                <w:lang w:val="en-US" w:eastAsia="zh-CN"/>
              </w:rPr>
            </w:pPr>
            <w:r>
              <w:rPr>
                <w:rFonts w:hint="eastAsia" w:ascii="仿宋_GB2312" w:hAnsi="仿宋_GB2312" w:cs="仿宋_GB2312"/>
                <w:sz w:val="24"/>
                <w:szCs w:val="24"/>
                <w:lang w:val="en-US" w:eastAsia="zh-CN"/>
              </w:rPr>
              <w:t>1.815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合计</w:t>
            </w:r>
          </w:p>
        </w:tc>
        <w:tc>
          <w:tcPr>
            <w:tcW w:w="158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lang w:val="en-US" w:eastAsia="zh-CN"/>
              </w:rPr>
            </w:pPr>
            <w:r>
              <w:rPr>
                <w:rFonts w:hint="eastAsia" w:ascii="Times New Roman" w:hAnsi="Times New Roman"/>
                <w:sz w:val="21"/>
                <w:szCs w:val="21"/>
              </w:rPr>
              <w:t>/</w:t>
            </w:r>
          </w:p>
        </w:tc>
        <w:tc>
          <w:tcPr>
            <w:tcW w:w="1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3.6522</w:t>
            </w:r>
          </w:p>
        </w:tc>
        <w:tc>
          <w:tcPr>
            <w:tcW w:w="183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lang w:val="en-US" w:eastAsia="zh-CN"/>
              </w:rPr>
            </w:pPr>
            <w:r>
              <w:rPr>
                <w:rFonts w:hint="eastAsia" w:ascii="Times New Roman" w:hAnsi="Times New Roman"/>
                <w:sz w:val="21"/>
                <w:szCs w:val="21"/>
              </w:rPr>
              <w:t>/</w:t>
            </w:r>
          </w:p>
        </w:tc>
        <w:tc>
          <w:tcPr>
            <w:tcW w:w="165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525.9168</w:t>
            </w:r>
          </w:p>
        </w:tc>
      </w:tr>
    </w:tbl>
    <w:p>
      <w:pPr>
        <w:spacing w:line="560" w:lineRule="exact"/>
        <w:ind w:firstLine="659" w:firstLineChars="20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备注：农村宅基地征收补偿标准按丽政办发〔202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62</w:t>
      </w:r>
      <w:r>
        <w:rPr>
          <w:rFonts w:hint="eastAsia" w:ascii="仿宋_GB2312" w:hAnsi="仿宋_GB2312" w:eastAsia="仿宋_GB2312" w:cs="仿宋_GB2312"/>
          <w:sz w:val="32"/>
          <w:szCs w:val="32"/>
        </w:rPr>
        <w:t>号文件第六条进行结算。</w:t>
      </w:r>
    </w:p>
    <w:p>
      <w:pPr>
        <w:spacing w:line="560" w:lineRule="exact"/>
        <w:ind w:firstLine="659" w:firstLineChars="20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地上附着物和青苗补偿费用实行包干补偿与按实补偿相结合的方式进行补偿，按《丽水市人民政府办公室关于印发丽水市市区征收集体土地地上附着物和青苗补偿标准的通知》（丽政办发〔2021〕10号）文件规定执行。即按照耕地、园地、其他农用地23.25万元/公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林地</w:t>
      </w:r>
      <w:r>
        <w:rPr>
          <w:rFonts w:hint="eastAsia" w:ascii="仿宋_GB2312" w:hAnsi="仿宋_GB2312" w:eastAsia="仿宋_GB2312" w:cs="仿宋_GB2312"/>
          <w:sz w:val="32"/>
          <w:szCs w:val="32"/>
          <w:lang w:eastAsia="zh-CN"/>
        </w:rPr>
        <w:t>、未利用地</w:t>
      </w:r>
      <w:r>
        <w:rPr>
          <w:rFonts w:hint="eastAsia" w:ascii="仿宋_GB2312" w:hAnsi="仿宋_GB2312" w:eastAsia="仿宋_GB2312" w:cs="仿宋_GB2312"/>
          <w:sz w:val="32"/>
          <w:szCs w:val="32"/>
        </w:rPr>
        <w:t>10.5万元/公顷的标准补偿给包干统筹，据实补偿给相应的所有权人，青苗和地上附着物补偿费共计人民币</w:t>
      </w:r>
      <w:r>
        <w:rPr>
          <w:rFonts w:hint="eastAsia" w:ascii="仿宋_GB2312" w:hAnsi="仿宋_GB2312" w:eastAsia="仿宋_GB2312" w:cs="仿宋_GB2312"/>
          <w:sz w:val="32"/>
          <w:szCs w:val="32"/>
          <w:lang w:val="en-US" w:eastAsia="zh-CN"/>
        </w:rPr>
        <w:t>60.48255</w:t>
      </w:r>
      <w:r>
        <w:rPr>
          <w:rFonts w:hint="eastAsia" w:ascii="仿宋_GB2312" w:hAnsi="仿宋_GB2312" w:eastAsia="仿宋_GB2312" w:cs="仿宋_GB2312"/>
          <w:sz w:val="32"/>
          <w:szCs w:val="32"/>
        </w:rPr>
        <w:t>万元。</w:t>
      </w:r>
    </w:p>
    <w:p>
      <w:pPr>
        <w:spacing w:line="600" w:lineRule="exact"/>
        <w:ind w:firstLine="659" w:firstLineChars="20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以上合计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征收补偿费金额为人民币</w:t>
      </w:r>
      <w:r>
        <w:rPr>
          <w:rFonts w:hint="eastAsia" w:ascii="仿宋_GB2312" w:hAnsi="仿宋_GB2312" w:eastAsia="仿宋_GB2312" w:cs="仿宋_GB2312"/>
          <w:sz w:val="32"/>
          <w:szCs w:val="32"/>
          <w:lang w:val="en-US" w:eastAsia="zh-CN"/>
        </w:rPr>
        <w:t>586.39935</w:t>
      </w:r>
      <w:r>
        <w:rPr>
          <w:rFonts w:hint="eastAsia" w:ascii="仿宋_GB2312" w:hAnsi="仿宋_GB2312" w:eastAsia="仿宋_GB2312" w:cs="仿宋_GB2312"/>
          <w:sz w:val="32"/>
          <w:szCs w:val="32"/>
        </w:rPr>
        <w:t>万元（大写：</w:t>
      </w:r>
      <w:r>
        <w:rPr>
          <w:rFonts w:hint="eastAsia" w:ascii="仿宋_GB2312" w:hAnsi="仿宋_GB2312" w:eastAsia="仿宋_GB2312" w:cs="仿宋_GB2312"/>
          <w:sz w:val="32"/>
          <w:szCs w:val="32"/>
          <w:lang w:val="en-US" w:eastAsia="zh-CN"/>
        </w:rPr>
        <w:t>伍佰捌拾陆万叁仟玖佰玖拾叁元伍角</w:t>
      </w:r>
      <w:r>
        <w:rPr>
          <w:rFonts w:hint="eastAsia" w:ascii="仿宋_GB2312" w:hAnsi="仿宋_GB2312" w:eastAsia="仿宋_GB2312" w:cs="仿宋_GB2312"/>
          <w:sz w:val="32"/>
          <w:szCs w:val="32"/>
        </w:rPr>
        <w:t>）。</w:t>
      </w:r>
    </w:p>
    <w:p>
      <w:pPr>
        <w:numPr>
          <w:ilvl w:val="0"/>
          <w:numId w:val="0"/>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社保安置。本次征地中参加被征地农民基本生活保障人数共</w:t>
      </w:r>
      <w:r>
        <w:rPr>
          <w:rFonts w:hint="eastAsia" w:ascii="仿宋_GB2312" w:hAnsi="仿宋_GB2312" w:eastAsia="仿宋_GB2312" w:cs="仿宋_GB2312"/>
          <w:sz w:val="32"/>
          <w:szCs w:val="32"/>
          <w:u w:val="single"/>
          <w:lang w:val="en-US" w:eastAsia="zh-CN"/>
        </w:rPr>
        <w:t xml:space="preserve">  75  </w:t>
      </w:r>
      <w:r>
        <w:rPr>
          <w:rFonts w:hint="eastAsia" w:ascii="仿宋_GB2312" w:hAnsi="仿宋_GB2312" w:eastAsia="仿宋_GB2312" w:cs="仿宋_GB2312"/>
          <w:sz w:val="32"/>
          <w:szCs w:val="32"/>
        </w:rPr>
        <w:t>人，被征地单位应按有关规定确认具体参保人数和名单，并办理相关手续。</w:t>
      </w:r>
    </w:p>
    <w:p>
      <w:pPr>
        <w:spacing w:line="600" w:lineRule="exact"/>
        <w:ind w:firstLine="643" w:firstLineChars="201"/>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鼓励被征地农民按照有关规定参加就业培训。</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、集体土地上房屋补偿标准、安置方式</w:t>
      </w:r>
    </w:p>
    <w:p>
      <w:pPr>
        <w:numPr>
          <w:ilvl w:val="0"/>
          <w:numId w:val="0"/>
        </w:numPr>
        <w:spacing w:line="560" w:lineRule="exact"/>
        <w:ind w:firstLine="640" w:firstLineChars="200"/>
        <w:rPr>
          <w:rFonts w:hint="eastAsia" w:ascii="仿宋_GB2312" w:hAnsi="仿宋_GB2312" w:eastAsia="仿宋_GB2312" w:cs="Times New Roman"/>
          <w:sz w:val="32"/>
          <w:szCs w:val="32"/>
          <w:lang w:eastAsia="zh-CN"/>
        </w:rPr>
      </w:pPr>
      <w:r>
        <w:rPr>
          <w:rFonts w:hint="eastAsia" w:ascii="仿宋_GB2312" w:hAnsi="仿宋_GB2312" w:eastAsia="仿宋_GB2312" w:cs="Times New Roman"/>
          <w:sz w:val="32"/>
          <w:szCs w:val="32"/>
          <w:lang w:eastAsia="zh-CN"/>
        </w:rPr>
        <w:t>1</w:t>
      </w:r>
      <w:r>
        <w:rPr>
          <w:rFonts w:hint="eastAsia" w:ascii="仿宋_GB2312" w:hAnsi="仿宋_GB2312" w:eastAsia="仿宋_GB2312" w:cs="Times New Roman"/>
          <w:sz w:val="32"/>
          <w:szCs w:val="32"/>
          <w:lang w:val="en-US" w:eastAsia="zh-CN"/>
        </w:rPr>
        <w:t>.</w:t>
      </w:r>
      <w:r>
        <w:rPr>
          <w:rFonts w:hint="eastAsia" w:ascii="仿宋_GB2312" w:hAnsi="仿宋_GB2312" w:eastAsia="仿宋_GB2312" w:cs="Times New Roman"/>
          <w:sz w:val="32"/>
          <w:szCs w:val="32"/>
          <w:lang w:eastAsia="zh-CN"/>
        </w:rPr>
        <w:t>房屋补偿（含住宅和非住宅）参照《</w:t>
      </w:r>
      <w:r>
        <w:rPr>
          <w:rFonts w:hint="eastAsia" w:ascii="仿宋_GB2312" w:hAnsi="仿宋_GB2312" w:cs="Times New Roman"/>
          <w:sz w:val="32"/>
          <w:szCs w:val="32"/>
          <w:lang w:eastAsia="zh-CN"/>
        </w:rPr>
        <w:t>丽水市人民政府关于印发</w:t>
      </w:r>
      <w:r>
        <w:rPr>
          <w:rFonts w:hint="eastAsia" w:ascii="仿宋_GB2312" w:hAnsi="仿宋_GB2312" w:eastAsia="仿宋_GB2312" w:cs="Times New Roman"/>
          <w:sz w:val="32"/>
          <w:szCs w:val="32"/>
          <w:lang w:eastAsia="zh-CN"/>
        </w:rPr>
        <w:t>丽水市市区征收集体所有土地房屋补偿管理办法</w:t>
      </w:r>
      <w:r>
        <w:rPr>
          <w:rFonts w:hint="eastAsia" w:ascii="仿宋_GB2312" w:hAnsi="仿宋_GB2312" w:cs="Times New Roman"/>
          <w:sz w:val="32"/>
          <w:szCs w:val="32"/>
          <w:lang w:eastAsia="zh-CN"/>
        </w:rPr>
        <w:t>的通知</w:t>
      </w:r>
      <w:r>
        <w:rPr>
          <w:rFonts w:hint="eastAsia" w:ascii="仿宋_GB2312" w:hAnsi="仿宋_GB2312" w:eastAsia="仿宋_GB2312" w:cs="Times New Roman"/>
          <w:sz w:val="32"/>
          <w:szCs w:val="32"/>
          <w:lang w:eastAsia="zh-CN"/>
        </w:rPr>
        <w:t>》（丽政发〔20</w:t>
      </w:r>
      <w:r>
        <w:rPr>
          <w:rFonts w:hint="eastAsia" w:ascii="仿宋_GB2312" w:hAnsi="仿宋_GB2312" w:eastAsia="仿宋_GB2312" w:cs="Times New Roman"/>
          <w:sz w:val="32"/>
          <w:szCs w:val="32"/>
          <w:lang w:val="en-US" w:eastAsia="zh-CN"/>
        </w:rPr>
        <w:t>19</w:t>
      </w:r>
      <w:r>
        <w:rPr>
          <w:rFonts w:hint="eastAsia" w:ascii="仿宋_GB2312" w:hAnsi="仿宋_GB2312" w:eastAsia="仿宋_GB2312" w:cs="Times New Roman"/>
          <w:sz w:val="32"/>
          <w:szCs w:val="32"/>
          <w:lang w:eastAsia="zh-CN"/>
        </w:rPr>
        <w:t>〕32号）文件执行。</w:t>
      </w:r>
    </w:p>
    <w:p>
      <w:pPr>
        <w:numPr>
          <w:ilvl w:val="0"/>
          <w:numId w:val="0"/>
        </w:numPr>
        <w:spacing w:line="560" w:lineRule="exact"/>
        <w:ind w:firstLine="640" w:firstLineChars="200"/>
        <w:rPr>
          <w:rFonts w:hint="eastAsia" w:ascii="仿宋_GB2312" w:hAnsi="仿宋_GB2312" w:eastAsia="仿宋_GB2312" w:cs="Times New Roman"/>
          <w:sz w:val="32"/>
          <w:szCs w:val="32"/>
          <w:lang w:eastAsia="zh-CN"/>
        </w:rPr>
      </w:pPr>
      <w:r>
        <w:rPr>
          <w:rFonts w:hint="eastAsia" w:ascii="仿宋_GB2312" w:hAnsi="仿宋_GB2312" w:eastAsia="仿宋_GB2312" w:cs="Times New Roman"/>
          <w:sz w:val="32"/>
          <w:szCs w:val="32"/>
          <w:lang w:eastAsia="zh-CN"/>
        </w:rPr>
        <w:t>2</w:t>
      </w:r>
      <w:r>
        <w:rPr>
          <w:rFonts w:hint="eastAsia" w:ascii="仿宋_GB2312" w:hAnsi="仿宋_GB2312" w:eastAsia="仿宋_GB2312" w:cs="Times New Roman"/>
          <w:sz w:val="32"/>
          <w:szCs w:val="32"/>
          <w:lang w:val="en-US" w:eastAsia="zh-CN"/>
        </w:rPr>
        <w:t>.</w:t>
      </w:r>
      <w:r>
        <w:rPr>
          <w:rFonts w:hint="eastAsia" w:ascii="仿宋_GB2312" w:hAnsi="仿宋_GB2312" w:eastAsia="仿宋_GB2312" w:cs="Times New Roman"/>
          <w:sz w:val="32"/>
          <w:szCs w:val="32"/>
          <w:lang w:eastAsia="zh-CN"/>
        </w:rPr>
        <w:t>本次安置按照公寓安置、产权调换、货币安置安置方式。安置地点：小白岩区块。</w:t>
      </w:r>
    </w:p>
    <w:p>
      <w:pPr>
        <w:numPr>
          <w:ilvl w:val="0"/>
          <w:numId w:val="0"/>
        </w:numPr>
        <w:spacing w:line="560" w:lineRule="exact"/>
        <w:ind w:firstLine="640" w:firstLineChars="200"/>
        <w:rPr>
          <w:rFonts w:hint="eastAsia" w:ascii="仿宋_GB2312" w:hAnsi="仿宋_GB2312" w:eastAsia="仿宋_GB2312" w:cs="Times New Roman"/>
          <w:sz w:val="32"/>
          <w:szCs w:val="32"/>
          <w:lang w:eastAsia="zh-CN"/>
        </w:rPr>
      </w:pPr>
      <w:r>
        <w:rPr>
          <w:rFonts w:hint="eastAsia" w:ascii="仿宋_GB2312" w:hAnsi="仿宋_GB2312" w:eastAsia="仿宋_GB2312" w:cs="Times New Roman"/>
          <w:sz w:val="32"/>
          <w:szCs w:val="32"/>
          <w:lang w:eastAsia="zh-CN"/>
        </w:rPr>
        <w:t>3</w:t>
      </w:r>
      <w:r>
        <w:rPr>
          <w:rFonts w:hint="eastAsia" w:ascii="仿宋_GB2312" w:hAnsi="仿宋_GB2312" w:eastAsia="仿宋_GB2312" w:cs="Times New Roman"/>
          <w:sz w:val="32"/>
          <w:szCs w:val="32"/>
          <w:lang w:val="en-US" w:eastAsia="zh-CN"/>
        </w:rPr>
        <w:t>.</w:t>
      </w:r>
      <w:r>
        <w:rPr>
          <w:rFonts w:hint="eastAsia" w:ascii="仿宋_GB2312" w:hAnsi="仿宋_GB2312" w:eastAsia="仿宋_GB2312" w:cs="Times New Roman"/>
          <w:sz w:val="32"/>
          <w:szCs w:val="32"/>
          <w:lang w:eastAsia="zh-CN"/>
        </w:rPr>
        <w:t>住宅搬迁费、非住宅搬迁费、住宅</w:t>
      </w:r>
      <w:r>
        <w:rPr>
          <w:rFonts w:hint="eastAsia" w:ascii="仿宋_GB2312" w:hAnsi="仿宋_GB2312" w:eastAsia="仿宋_GB2312" w:cs="Times New Roman"/>
          <w:sz w:val="32"/>
          <w:szCs w:val="32"/>
          <w:lang w:val="en-US" w:eastAsia="zh-CN"/>
        </w:rPr>
        <w:t>临时安置</w:t>
      </w:r>
      <w:r>
        <w:rPr>
          <w:rFonts w:hint="eastAsia" w:ascii="仿宋_GB2312" w:hAnsi="仿宋_GB2312" w:eastAsia="仿宋_GB2312" w:cs="Times New Roman"/>
          <w:sz w:val="32"/>
          <w:szCs w:val="32"/>
          <w:lang w:eastAsia="zh-CN"/>
        </w:rPr>
        <w:t>费参照</w:t>
      </w:r>
      <w:r>
        <w:rPr>
          <w:rFonts w:hint="eastAsia" w:ascii="仿宋_GB2312" w:hAnsi="仿宋_GB2312" w:eastAsia="仿宋_GB2312" w:cs="Times New Roman"/>
          <w:sz w:val="32"/>
          <w:szCs w:val="32"/>
          <w:lang w:val="en-US" w:eastAsia="zh-CN"/>
        </w:rPr>
        <w:t>《丽水市人民政府关于修改丽水市市区房屋征收临时安置费、搬迁费、停业停产损失补助费、房屋改变用途补助标准以及集体土地房屋征收公寓安置廉购价、优惠价标准的通知》（丽政发〔2024〕8号）文件规定的标准计发。</w:t>
      </w:r>
    </w:p>
    <w:p>
      <w:pPr>
        <w:numPr>
          <w:ilvl w:val="0"/>
          <w:numId w:val="0"/>
        </w:numPr>
        <w:spacing w:line="560" w:lineRule="exact"/>
        <w:ind w:firstLine="640" w:firstLineChars="200"/>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eastAsia="zh-CN"/>
        </w:rPr>
        <w:t>4</w:t>
      </w:r>
      <w:r>
        <w:rPr>
          <w:rFonts w:hint="eastAsia" w:ascii="仿宋_GB2312" w:hAnsi="仿宋_GB2312" w:eastAsia="仿宋_GB2312" w:cs="Times New Roman"/>
          <w:sz w:val="32"/>
          <w:szCs w:val="32"/>
          <w:lang w:val="en-US" w:eastAsia="zh-CN"/>
        </w:rPr>
        <w:t>.</w:t>
      </w:r>
      <w:r>
        <w:rPr>
          <w:rFonts w:hint="eastAsia" w:ascii="仿宋_GB2312" w:hAnsi="仿宋_GB2312" w:eastAsia="仿宋_GB2312" w:cs="Times New Roman"/>
          <w:sz w:val="32"/>
          <w:szCs w:val="32"/>
          <w:lang w:eastAsia="zh-CN"/>
        </w:rPr>
        <w:t>相关签约时间另行通告。</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四、土地征收经批准后，由丽水市人民政府按方案内容组织实施。</w:t>
      </w:r>
    </w:p>
    <w:p>
      <w:pPr>
        <w:spacing w:line="600" w:lineRule="exact"/>
        <w:ind w:firstLine="640" w:firstLineChars="200"/>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 xml:space="preserve">                                               </w:t>
      </w:r>
    </w:p>
    <w:p>
      <w:pPr>
        <w:spacing w:line="600" w:lineRule="exact"/>
        <w:rPr>
          <w:rFonts w:hint="default" w:ascii="仿宋_GB2312" w:hAnsi="仿宋_GB2312" w:eastAsia="仿宋_GB2312"/>
          <w:sz w:val="32"/>
          <w:szCs w:val="32"/>
          <w:lang w:val="en-US" w:eastAsia="zh-CN"/>
        </w:rPr>
      </w:pPr>
      <w:r>
        <w:rPr>
          <w:rFonts w:hint="eastAsia" w:ascii="仿宋_GB2312" w:hAnsi="仿宋_GB2312" w:eastAsia="仿宋_GB2312"/>
          <w:b/>
          <w:sz w:val="32"/>
          <w:szCs w:val="32"/>
        </w:rPr>
        <w:t xml:space="preserve">   </w:t>
      </w:r>
      <w:r>
        <w:rPr>
          <w:rFonts w:hint="eastAsia" w:ascii="仿宋_GB2312" w:hAnsi="仿宋_GB2312"/>
          <w:b/>
          <w:sz w:val="32"/>
          <w:szCs w:val="32"/>
          <w:lang w:val="en-US" w:eastAsia="zh-CN"/>
        </w:rPr>
        <w:t xml:space="preserve"> </w:t>
      </w:r>
    </w:p>
    <w:p>
      <w:pPr>
        <w:spacing w:line="600" w:lineRule="exact"/>
        <w:jc w:val="both"/>
        <w:rPr>
          <w:rFonts w:hint="eastAsia" w:ascii="仿宋_GB2312" w:hAnsi="仿宋_GB2312" w:eastAsia="仿宋_GB2312"/>
          <w:b/>
          <w:sz w:val="32"/>
          <w:szCs w:val="32"/>
        </w:rPr>
      </w:pPr>
    </w:p>
    <w:p>
      <w:pPr>
        <w:keepNext w:val="0"/>
        <w:keepLines w:val="0"/>
        <w:pageBreakBefore w:val="0"/>
        <w:widowControl w:val="0"/>
        <w:kinsoku/>
        <w:wordWrap w:val="0"/>
        <w:overflowPunct/>
        <w:topLinePunct w:val="0"/>
        <w:autoSpaceDE/>
        <w:autoSpaceDN/>
        <w:bidi w:val="0"/>
        <w:adjustRightInd/>
        <w:snapToGrid/>
        <w:spacing w:line="600" w:lineRule="exact"/>
        <w:ind w:left="3840" w:right="1280" w:rightChars="400" w:hanging="3840" w:hangingChars="1200"/>
        <w:jc w:val="right"/>
        <w:textAlignment w:val="auto"/>
        <w:rPr>
          <w:rFonts w:hint="eastAsia" w:ascii="仿宋_GB2312" w:hAnsi="仿宋_GB2312" w:eastAsia="仿宋_GB2312"/>
          <w:sz w:val="32"/>
          <w:szCs w:val="32"/>
        </w:rPr>
      </w:pPr>
      <w:r>
        <w:rPr>
          <w:rFonts w:hint="eastAsia" w:ascii="仿宋_GB2312" w:hAnsi="仿宋_GB2312"/>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600" w:lineRule="exact"/>
        <w:ind w:right="1280" w:rightChars="400"/>
        <w:jc w:val="both"/>
        <w:textAlignment w:val="auto"/>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xMGNiMzg3NjE5ZWE5MzE5MDI3OWU2OTJkYTBhZWUifQ=="/>
  </w:docVars>
  <w:rsids>
    <w:rsidRoot w:val="1A385BA4"/>
    <w:rsid w:val="02B176F7"/>
    <w:rsid w:val="07F2361A"/>
    <w:rsid w:val="0C4B3376"/>
    <w:rsid w:val="0D8F3F87"/>
    <w:rsid w:val="0E6E2AD3"/>
    <w:rsid w:val="0FF845F1"/>
    <w:rsid w:val="11913BB8"/>
    <w:rsid w:val="12856093"/>
    <w:rsid w:val="13D166A8"/>
    <w:rsid w:val="143B4DED"/>
    <w:rsid w:val="196E4B6D"/>
    <w:rsid w:val="1A385BA4"/>
    <w:rsid w:val="1DC80890"/>
    <w:rsid w:val="1F8D56B5"/>
    <w:rsid w:val="20211FFD"/>
    <w:rsid w:val="21C47D20"/>
    <w:rsid w:val="24091FB2"/>
    <w:rsid w:val="2F9C4E06"/>
    <w:rsid w:val="35BB4437"/>
    <w:rsid w:val="37C61C0D"/>
    <w:rsid w:val="3B475ACC"/>
    <w:rsid w:val="3BE922DC"/>
    <w:rsid w:val="3E725A75"/>
    <w:rsid w:val="3E824739"/>
    <w:rsid w:val="54C61225"/>
    <w:rsid w:val="5700382F"/>
    <w:rsid w:val="57CA5D16"/>
    <w:rsid w:val="5A155773"/>
    <w:rsid w:val="6AC65845"/>
    <w:rsid w:val="6AEBD672"/>
    <w:rsid w:val="6BAE1DF2"/>
    <w:rsid w:val="73944C69"/>
    <w:rsid w:val="7BE0328E"/>
    <w:rsid w:val="F7BFE29E"/>
    <w:rsid w:val="F7CE2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32"/>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b/>
      <w:kern w:val="36"/>
      <w:sz w:val="48"/>
      <w:szCs w:val="48"/>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firstLineChars="200"/>
    </w:pPr>
  </w:style>
  <w:style w:type="paragraph" w:styleId="4">
    <w:name w:val="footer"/>
    <w:basedOn w:val="1"/>
    <w:unhideWhenUsed/>
    <w:qFormat/>
    <w:uiPriority w:val="99"/>
    <w:pPr>
      <w:tabs>
        <w:tab w:val="center" w:pos="4153"/>
        <w:tab w:val="right" w:pos="8306"/>
      </w:tabs>
      <w:snapToGrid w:val="0"/>
      <w:jc w:val="left"/>
    </w:pPr>
    <w:rPr>
      <w:sz w:val="18"/>
      <w:szCs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972</Words>
  <Characters>1133</Characters>
  <Lines>0</Lines>
  <Paragraphs>0</Paragraphs>
  <TotalTime>2</TotalTime>
  <ScaleCrop>false</ScaleCrop>
  <LinksUpToDate>false</LinksUpToDate>
  <CharactersWithSpaces>1276</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2022-08-25T11:05:00Z</dcterms:created>
  <dc:creator>Lenovo</dc:creator>
  <cp:lastModifiedBy>朱柳舟</cp:lastModifiedBy>
  <cp:lastPrinted>2025-03-11T10:06:00Z</cp:lastPrinted>
  <dcterms:modified xsi:type="dcterms:W3CDTF">2025-03-27T10:51:25Z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854354DF091B4C6AA79C72D823E8989F_12</vt:lpwstr>
  </property>
  <property fmtid="{D5CDD505-2E9C-101B-9397-08002B2CF9AE}" pid="4" name="KSOTemplateDocerSaveRecord">
    <vt:lpwstr>eyJoZGlkIjoiYzdmNDQ3OTVmZWU2YTE4YmUzZTNhYzllZThiZDE1YzAifQ==</vt:lpwstr>
  </property>
</Properties>
</file>