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pacing w:val="15"/>
          <w:sz w:val="44"/>
          <w:szCs w:val="44"/>
        </w:rPr>
      </w:pPr>
    </w:p>
    <w:p>
      <w:pPr>
        <w:pStyle w:val="2"/>
        <w:rPr>
          <w:rFonts w:ascii="方正小标宋简体" w:hAnsi="方正小标宋简体" w:eastAsia="方正小标宋简体" w:cs="方正小标宋简体"/>
          <w:spacing w:val="15"/>
          <w:sz w:val="44"/>
          <w:szCs w:val="44"/>
        </w:rPr>
      </w:pPr>
    </w:p>
    <w:p>
      <w:pPr>
        <w:pStyle w:val="2"/>
        <w:rPr>
          <w:rFonts w:ascii="方正小标宋简体" w:hAnsi="方正小标宋简体" w:eastAsia="方正小标宋简体" w:cs="方正小标宋简体"/>
          <w:spacing w:val="15"/>
          <w:sz w:val="44"/>
          <w:szCs w:val="44"/>
        </w:rPr>
      </w:pPr>
      <w:bookmarkStart w:id="0" w:name="_GoBack"/>
      <w:bookmarkEnd w:id="0"/>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hint="eastAsia" w:ascii="方正小标宋简体" w:hAnsi="方正小标宋简体" w:eastAsia="方正小标宋简体" w:cs="方正小标宋简体"/>
          <w:bCs/>
          <w:spacing w:val="15"/>
          <w:sz w:val="44"/>
          <w:szCs w:val="44"/>
        </w:rPr>
      </w:pPr>
      <w:r>
        <w:rPr>
          <w:rFonts w:ascii="方正小标宋简体" w:hAnsi="方正小标宋简体" w:eastAsia="方正小标宋简体" w:cs="方正小标宋简体"/>
          <w:bCs/>
          <w:spacing w:val="15"/>
          <w:sz w:val="44"/>
          <w:szCs w:val="44"/>
          <w:lang w:val="en"/>
        </w:rPr>
        <w:t>丽水市</w:t>
      </w:r>
      <w:r>
        <w:rPr>
          <w:rFonts w:hint="eastAsia" w:ascii="方正小标宋简体" w:hAnsi="方正小标宋简体" w:eastAsia="方正小标宋简体" w:cs="方正小标宋简体"/>
          <w:bCs/>
          <w:spacing w:val="15"/>
          <w:sz w:val="44"/>
          <w:szCs w:val="44"/>
        </w:rPr>
        <w:t>职业高级中学</w:t>
      </w:r>
    </w:p>
    <w:p>
      <w:pPr>
        <w:spacing w:line="560" w:lineRule="exact"/>
        <w:jc w:val="center"/>
        <w:rPr>
          <w:rFonts w:ascii="方正小标宋简体" w:hAnsi="方正小标宋简体" w:eastAsia="方正小标宋简体" w:cs="方正小标宋简体"/>
          <w:bCs/>
          <w:spacing w:val="15"/>
          <w:sz w:val="44"/>
          <w:szCs w:val="44"/>
        </w:rPr>
      </w:pPr>
      <w:r>
        <w:rPr>
          <w:rFonts w:hint="eastAsia" w:ascii="方正小标宋简体" w:hAnsi="方正小标宋简体" w:eastAsia="方正小标宋简体" w:cs="方正小标宋简体"/>
          <w:bCs/>
          <w:spacing w:val="15"/>
          <w:sz w:val="44"/>
          <w:szCs w:val="44"/>
        </w:rPr>
        <w:t>2023年市本级单位预算</w:t>
      </w:r>
    </w:p>
    <w:p>
      <w:pPr>
        <w:spacing w:line="560" w:lineRule="exact"/>
        <w:ind w:firstLine="590" w:firstLineChars="196"/>
        <w:rPr>
          <w:rStyle w:val="7"/>
          <w:color w:val="000000"/>
          <w:sz w:val="30"/>
          <w:szCs w:val="30"/>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rPr>
          <w:rStyle w:val="7"/>
          <w:rFonts w:ascii="黑体" w:eastAsia="黑体"/>
          <w:b w:val="0"/>
          <w:color w:val="000000"/>
          <w:sz w:val="32"/>
          <w:szCs w:val="32"/>
        </w:rPr>
      </w:pPr>
    </w:p>
    <w:p>
      <w:pPr>
        <w:spacing w:line="520" w:lineRule="exact"/>
        <w:ind w:firstLine="627" w:firstLineChars="196"/>
        <w:jc w:val="center"/>
        <w:rPr>
          <w:rStyle w:val="7"/>
          <w:rFonts w:ascii="黑体" w:eastAsia="黑体"/>
          <w:b w:val="0"/>
          <w:color w:val="000000"/>
          <w:sz w:val="32"/>
          <w:szCs w:val="32"/>
        </w:rPr>
      </w:pPr>
      <w:r>
        <w:rPr>
          <w:rStyle w:val="7"/>
          <w:rFonts w:hint="eastAsia" w:ascii="黑体" w:eastAsia="黑体"/>
          <w:b w:val="0"/>
          <w:color w:val="000000"/>
          <w:sz w:val="32"/>
          <w:szCs w:val="32"/>
        </w:rPr>
        <w:t>目录</w:t>
      </w:r>
    </w:p>
    <w:p>
      <w:pPr>
        <w:pStyle w:val="2"/>
        <w:rPr>
          <w:rFonts w:hint="default"/>
        </w:rPr>
      </w:pPr>
    </w:p>
    <w:p>
      <w:pPr>
        <w:spacing w:line="520" w:lineRule="exact"/>
        <w:rPr>
          <w:rFonts w:eastAsia="黑体"/>
          <w:sz w:val="32"/>
        </w:rPr>
      </w:pPr>
      <w:r>
        <w:rPr>
          <w:rFonts w:hint="eastAsia" w:ascii="黑体" w:eastAsia="黑体"/>
          <w:color w:val="000000"/>
          <w:sz w:val="32"/>
        </w:rPr>
        <w:t>一、</w:t>
      </w:r>
      <w:r>
        <w:rPr>
          <w:rStyle w:val="7"/>
          <w:rFonts w:hint="eastAsia" w:ascii="黑体" w:eastAsia="黑体"/>
          <w:b w:val="0"/>
          <w:color w:val="000000"/>
          <w:sz w:val="32"/>
          <w:szCs w:val="32"/>
        </w:rPr>
        <w:t>部门概况</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（二）部门机构设置情况</w:t>
      </w:r>
    </w:p>
    <w:p>
      <w:pPr>
        <w:spacing w:line="520" w:lineRule="exact"/>
        <w:rPr>
          <w:rStyle w:val="7"/>
          <w:rFonts w:ascii="黑体" w:eastAsia="黑体"/>
          <w:b w:val="0"/>
          <w:color w:val="000000"/>
          <w:sz w:val="32"/>
          <w:szCs w:val="32"/>
        </w:rPr>
      </w:pPr>
      <w:r>
        <w:rPr>
          <w:rStyle w:val="7"/>
          <w:rFonts w:hint="eastAsia" w:ascii="黑体" w:eastAsia="黑体"/>
          <w:b w:val="0"/>
          <w:color w:val="000000"/>
          <w:sz w:val="32"/>
          <w:szCs w:val="32"/>
        </w:rPr>
        <w:t>二、2023年丽水市职业高级中学部门预算安排情况说明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（一）关于丽水市职业高级中学2023年收支预算情况的总体说明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（二）关于丽水市职业高级中学2023年收入预算情况说明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（三）关于丽水市职业高级中学2023年支出预算情况说明</w:t>
      </w:r>
      <w:r>
        <w:rPr>
          <w:rFonts w:hint="eastAsia" w:ascii="楷体_GB2312" w:hAnsi="楷体_GB2312" w:eastAsia="楷体_GB2312" w:cs="楷体_GB2312"/>
          <w:bCs/>
          <w:sz w:val="32"/>
          <w:szCs w:val="32"/>
        </w:rPr>
        <w:br w:type="textWrapping"/>
      </w:r>
      <w:r>
        <w:rPr>
          <w:rFonts w:hint="eastAsia" w:ascii="楷体_GB2312" w:hAnsi="楷体_GB2312" w:eastAsia="楷体_GB2312" w:cs="楷体_GB2312"/>
          <w:bCs/>
          <w:sz w:val="32"/>
          <w:szCs w:val="32"/>
        </w:rPr>
        <w:t>（四）关于丽水市职业高级中学2023年财政拨款收支预算情况的总体说明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（五）关于丽水市职业高级中学2023年一般公共预算当年拨款情况说明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（六）关于丽水市职业高级中学2023年一般公共预算基本支出情况说明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（七）关于丽水市职业高级中学2023年政府性基金预算支出情况说明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（八）关于丽水市职业高级中学2023年国有资本经营预算支出情况说明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（九）关于丽水市职业高级中学2023年一般公共预算“三公”经费预算情况说明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7"/>
        <w:spacing w:line="520" w:lineRule="exact"/>
        <w:rPr>
          <w:rStyle w:val="7"/>
          <w:rFonts w:ascii="黑体" w:hAnsi="Calibri" w:eastAsia="黑体"/>
          <w:b w:val="0"/>
          <w:color w:val="000000"/>
          <w:kern w:val="2"/>
          <w:sz w:val="32"/>
          <w:szCs w:val="32"/>
        </w:rPr>
      </w:pPr>
      <w:r>
        <w:rPr>
          <w:rStyle w:val="7"/>
          <w:rFonts w:hint="eastAsia" w:ascii="黑体" w:hAnsi="Calibri" w:eastAsia="黑体"/>
          <w:b w:val="0"/>
          <w:color w:val="000000"/>
          <w:kern w:val="2"/>
          <w:sz w:val="32"/>
          <w:szCs w:val="32"/>
        </w:rPr>
        <w:t>三、名词解释</w:t>
      </w:r>
    </w:p>
    <w:p>
      <w:pPr>
        <w:spacing w:line="520" w:lineRule="exact"/>
        <w:rPr>
          <w:rStyle w:val="7"/>
          <w:rFonts w:ascii="黑体" w:eastAsia="黑体"/>
          <w:b w:val="0"/>
          <w:color w:val="000000"/>
          <w:sz w:val="32"/>
          <w:szCs w:val="32"/>
        </w:rPr>
      </w:pPr>
      <w:r>
        <w:rPr>
          <w:rStyle w:val="7"/>
          <w:rFonts w:hint="eastAsia" w:ascii="黑体" w:eastAsia="黑体"/>
          <w:b w:val="0"/>
          <w:color w:val="000000"/>
          <w:sz w:val="32"/>
          <w:szCs w:val="32"/>
        </w:rPr>
        <w:t>四、2023年丽水市职业高级中学</w:t>
      </w:r>
      <w:r>
        <w:rPr>
          <w:rStyle w:val="7"/>
          <w:rFonts w:hint="eastAsia" w:ascii="黑体" w:hAnsi="Calibri" w:eastAsia="黑体"/>
          <w:b w:val="0"/>
          <w:color w:val="000000"/>
          <w:sz w:val="32"/>
          <w:szCs w:val="32"/>
        </w:rPr>
        <w:t>部门</w:t>
      </w:r>
      <w:r>
        <w:rPr>
          <w:rStyle w:val="7"/>
          <w:rFonts w:hint="eastAsia" w:ascii="黑体" w:eastAsia="黑体"/>
          <w:b w:val="0"/>
          <w:color w:val="000000"/>
          <w:sz w:val="32"/>
          <w:szCs w:val="32"/>
        </w:rPr>
        <w:t>部门预算表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部门收入预算总表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部门支出预算总表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部门财政拨款收支预算总表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部门一般公共预算支出表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部门一般公共预算基本支出表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部门一般公共预算“三公”经费支出表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部门政府性基金预算支出表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部门国有资本经营预算支出表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部门项目支出预算表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（十一）2023年市本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部门预算财政拨款重点项目支出预算表</w:t>
      </w:r>
    </w:p>
    <w:p>
      <w:pPr>
        <w:spacing w:line="520" w:lineRule="exact"/>
        <w:ind w:firstLine="627" w:firstLineChars="196"/>
        <w:rPr>
          <w:rStyle w:val="7"/>
          <w:rFonts w:ascii="黑体" w:eastAsia="黑体"/>
          <w:b w:val="0"/>
          <w:color w:val="000000"/>
          <w:sz w:val="32"/>
          <w:szCs w:val="32"/>
        </w:rPr>
      </w:pPr>
    </w:p>
    <w:p>
      <w:pPr>
        <w:pStyle w:val="2"/>
        <w:rPr>
          <w:rStyle w:val="7"/>
          <w:rFonts w:hint="default" w:ascii="黑体" w:eastAsia="黑体"/>
          <w:b w:val="0"/>
          <w:sz w:val="32"/>
          <w:szCs w:val="32"/>
        </w:rPr>
      </w:pPr>
    </w:p>
    <w:p>
      <w:pPr>
        <w:pStyle w:val="2"/>
        <w:rPr>
          <w:rStyle w:val="7"/>
          <w:rFonts w:hint="default" w:ascii="黑体" w:eastAsia="黑体"/>
          <w:b w:val="0"/>
          <w:sz w:val="32"/>
          <w:szCs w:val="32"/>
        </w:rPr>
      </w:pPr>
    </w:p>
    <w:p>
      <w:pPr>
        <w:pStyle w:val="2"/>
        <w:rPr>
          <w:rStyle w:val="7"/>
          <w:rFonts w:hint="default" w:ascii="黑体" w:eastAsia="黑体"/>
          <w:b w:val="0"/>
          <w:sz w:val="32"/>
          <w:szCs w:val="32"/>
        </w:rPr>
      </w:pPr>
    </w:p>
    <w:p>
      <w:pPr>
        <w:pStyle w:val="2"/>
        <w:rPr>
          <w:rStyle w:val="7"/>
          <w:rFonts w:hint="default" w:ascii="黑体" w:eastAsia="黑体"/>
          <w:b w:val="0"/>
          <w:sz w:val="32"/>
          <w:szCs w:val="32"/>
        </w:rPr>
      </w:pPr>
    </w:p>
    <w:p>
      <w:pPr>
        <w:pStyle w:val="2"/>
        <w:rPr>
          <w:rStyle w:val="7"/>
          <w:rFonts w:hint="default" w:ascii="黑体" w:eastAsia="黑体"/>
          <w:b w:val="0"/>
          <w:sz w:val="32"/>
          <w:szCs w:val="32"/>
        </w:rPr>
      </w:pPr>
    </w:p>
    <w:p>
      <w:pPr>
        <w:pStyle w:val="2"/>
        <w:rPr>
          <w:rStyle w:val="7"/>
          <w:rFonts w:hint="default" w:ascii="黑体" w:eastAsia="黑体"/>
          <w:b w:val="0"/>
          <w:sz w:val="32"/>
          <w:szCs w:val="32"/>
        </w:rPr>
      </w:pPr>
    </w:p>
    <w:p>
      <w:pPr>
        <w:spacing w:line="520" w:lineRule="exact"/>
        <w:ind w:firstLine="627" w:firstLineChars="196"/>
        <w:rPr>
          <w:rStyle w:val="7"/>
          <w:rFonts w:ascii="黑体" w:eastAsia="黑体"/>
          <w:b w:val="0"/>
          <w:color w:val="000000"/>
          <w:sz w:val="32"/>
          <w:szCs w:val="32"/>
        </w:rPr>
      </w:pPr>
      <w:r>
        <w:rPr>
          <w:rStyle w:val="7"/>
          <w:rFonts w:hint="eastAsia" w:ascii="黑体" w:eastAsia="黑体"/>
          <w:b w:val="0"/>
          <w:color w:val="000000"/>
          <w:sz w:val="32"/>
          <w:szCs w:val="32"/>
        </w:rPr>
        <w:t>一、部门概况</w:t>
      </w:r>
    </w:p>
    <w:p>
      <w:pPr>
        <w:spacing w:line="520" w:lineRule="exact"/>
        <w:ind w:firstLine="627" w:firstLineChars="196"/>
        <w:rPr>
          <w:rFonts w:ascii="仿宋_GB2312" w:eastAsia="仿宋_GB2312"/>
          <w:bCs/>
          <w:sz w:val="32"/>
          <w:szCs w:val="32"/>
        </w:rPr>
      </w:pPr>
      <w:r>
        <w:rPr>
          <w:rFonts w:hint="eastAsia" w:ascii="仿宋_GB2312" w:eastAsia="仿宋_GB2312"/>
          <w:bCs/>
          <w:sz w:val="32"/>
          <w:szCs w:val="32"/>
        </w:rPr>
        <w:t>（一）主要职能</w:t>
      </w:r>
    </w:p>
    <w:p>
      <w:pPr>
        <w:spacing w:line="520" w:lineRule="exact"/>
        <w:ind w:firstLine="627" w:firstLineChars="196"/>
        <w:rPr>
          <w:rFonts w:ascii="仿宋_GB2312" w:eastAsia="仿宋_GB2312"/>
          <w:bCs/>
          <w:sz w:val="32"/>
          <w:szCs w:val="32"/>
        </w:rPr>
      </w:pPr>
      <w:r>
        <w:rPr>
          <w:rFonts w:hint="eastAsia" w:ascii="仿宋_GB2312" w:eastAsia="仿宋_GB2312"/>
          <w:bCs/>
          <w:sz w:val="32"/>
          <w:szCs w:val="32"/>
        </w:rPr>
        <w:t>1.培养高中学历技术应用人才，提高社会职业素质；</w:t>
      </w:r>
    </w:p>
    <w:p>
      <w:pPr>
        <w:spacing w:line="520" w:lineRule="exact"/>
        <w:ind w:firstLine="627" w:firstLineChars="196"/>
        <w:rPr>
          <w:rFonts w:ascii="仿宋_GB2312" w:eastAsia="仿宋_GB2312"/>
          <w:bCs/>
          <w:sz w:val="32"/>
          <w:szCs w:val="32"/>
        </w:rPr>
      </w:pPr>
      <w:r>
        <w:rPr>
          <w:rFonts w:hint="eastAsia" w:ascii="仿宋_GB2312" w:eastAsia="仿宋_GB2312"/>
          <w:bCs/>
          <w:sz w:val="32"/>
          <w:szCs w:val="32"/>
        </w:rPr>
        <w:t>2.学历教育相关职业培训。</w:t>
      </w:r>
    </w:p>
    <w:p>
      <w:pPr>
        <w:spacing w:line="520" w:lineRule="exact"/>
        <w:ind w:firstLine="627" w:firstLineChars="196"/>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（二）部门机构设置情况</w:t>
      </w:r>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从预算单位构成看，本单位内设：党政办公室、质量管理处、教学管理处、学生发展处、教师发展处、社会服务处、后勤保障处、专业学部、工会、团委、校监会（监事会）、财务室、创业创新中心、信息管理中心、医务室、图书馆、健康中心。</w:t>
      </w:r>
    </w:p>
    <w:p>
      <w:pPr>
        <w:spacing w:line="520" w:lineRule="exact"/>
        <w:rPr>
          <w:rFonts w:ascii="楷体_GB2312" w:hAnsi="楷体_GB2312" w:eastAsia="楷体_GB2312" w:cs="楷体_GB2312"/>
          <w:color w:val="000000"/>
          <w:sz w:val="32"/>
          <w:szCs w:val="32"/>
        </w:rPr>
      </w:pPr>
      <w:r>
        <w:rPr>
          <w:rStyle w:val="7"/>
          <w:rFonts w:hint="eastAsia" w:ascii="黑体" w:eastAsia="黑体"/>
          <w:b w:val="0"/>
          <w:color w:val="000000"/>
          <w:sz w:val="32"/>
          <w:szCs w:val="32"/>
        </w:rPr>
        <w:t xml:space="preserve">    二、2023年</w:t>
      </w:r>
      <w:r>
        <w:rPr>
          <w:rStyle w:val="7"/>
          <w:rFonts w:hint="eastAsia" w:ascii="黑体" w:hAnsi="Calibri" w:eastAsia="黑体"/>
          <w:b w:val="0"/>
          <w:color w:val="000000"/>
          <w:sz w:val="32"/>
          <w:szCs w:val="32"/>
        </w:rPr>
        <w:t>丽水市职业高级中学部门</w:t>
      </w:r>
      <w:r>
        <w:rPr>
          <w:rStyle w:val="7"/>
          <w:rFonts w:hint="eastAsia" w:ascii="黑体" w:eastAsia="黑体"/>
          <w:b w:val="0"/>
          <w:color w:val="000000"/>
          <w:sz w:val="32"/>
          <w:szCs w:val="32"/>
        </w:rPr>
        <w:t>预算安排情况说明</w:t>
      </w:r>
      <w:r>
        <w:rPr>
          <w:rFonts w:hint="eastAsia"/>
          <w:color w:val="000000"/>
          <w:sz w:val="32"/>
          <w:szCs w:val="32"/>
        </w:rPr>
        <w:br w:type="textWrapping"/>
      </w:r>
      <w:r>
        <w:rPr>
          <w:rFonts w:hint="eastAsia" w:ascii="仿宋_GB2312" w:eastAsia="仿宋_GB2312"/>
          <w:b/>
          <w:bCs/>
          <w:color w:val="000000"/>
          <w:sz w:val="32"/>
          <w:szCs w:val="32"/>
        </w:rPr>
        <w:t>　　</w:t>
      </w:r>
      <w:r>
        <w:rPr>
          <w:rFonts w:hint="eastAsia" w:ascii="楷体_GB2312" w:hAnsi="楷体_GB2312" w:eastAsia="楷体_GB2312" w:cs="楷体_GB2312"/>
          <w:color w:val="000000"/>
          <w:sz w:val="32"/>
          <w:szCs w:val="32"/>
        </w:rPr>
        <w:t>（一）关于</w:t>
      </w:r>
      <w:r>
        <w:rPr>
          <w:rStyle w:val="7"/>
          <w:rFonts w:hint="eastAsia" w:ascii="楷体_GB2312" w:hAnsi="楷体_GB2312" w:eastAsia="楷体_GB2312" w:cs="楷体_GB2312"/>
          <w:b w:val="0"/>
          <w:bCs w:val="0"/>
          <w:color w:val="000000"/>
          <w:sz w:val="32"/>
          <w:szCs w:val="32"/>
        </w:rPr>
        <w:t>丽水市职业高级中学2023年收支预算情况的总体说明</w:t>
      </w:r>
    </w:p>
    <w:p>
      <w:pPr>
        <w:spacing w:line="560" w:lineRule="exact"/>
        <w:ind w:firstLine="321" w:firstLineChars="100"/>
        <w:rPr>
          <w:rFonts w:ascii="楷体_GB2312" w:hAnsi="楷体_GB2312" w:eastAsia="楷体_GB2312" w:cs="楷体_GB2312"/>
          <w:b/>
          <w:sz w:val="32"/>
          <w:szCs w:val="32"/>
        </w:rPr>
      </w:pPr>
      <w:r>
        <w:rPr>
          <w:rFonts w:hint="eastAsia" w:ascii="楷体_GB2312" w:hAnsi="楷体_GB2312" w:eastAsia="楷体_GB2312" w:cs="楷体_GB2312"/>
          <w:b/>
          <w:color w:val="000000"/>
          <w:sz w:val="32"/>
          <w:szCs w:val="32"/>
        </w:rPr>
        <w:t xml:space="preserve"> </w:t>
      </w:r>
      <w:r>
        <w:rPr>
          <w:rFonts w:hint="eastAsia" w:ascii="仿宋_GB2312" w:eastAsia="仿宋_GB2312"/>
          <w:bCs/>
          <w:color w:val="000000"/>
          <w:sz w:val="32"/>
          <w:szCs w:val="32"/>
        </w:rPr>
        <w:t>按照</w:t>
      </w:r>
      <w:r>
        <w:rPr>
          <w:rFonts w:hint="eastAsia" w:ascii="仿宋_GB2312" w:eastAsia="仿宋_GB2312"/>
          <w:bCs/>
          <w:sz w:val="32"/>
          <w:szCs w:val="32"/>
        </w:rPr>
        <w:t>综合预算的原则，丽水市职业高级中学所</w:t>
      </w:r>
      <w:r>
        <w:rPr>
          <w:rFonts w:hint="eastAsia" w:ascii="仿宋_GB2312" w:eastAsia="仿宋_GB2312"/>
          <w:color w:val="000000"/>
          <w:sz w:val="32"/>
          <w:szCs w:val="32"/>
        </w:rPr>
        <w:t>有收入和支出均纳入部门预算管理。收入包括：一般公共预算拨款收入、政府性基金预算收入、财政专户管理资金收入、事业单位经营收入；支出包括：教育支出、社会保障和就业支出、卫生健康支出、城乡社区支出。丽水市职业高级中学2023年收支总预算9325.8万元</w:t>
      </w:r>
      <w:r>
        <w:rPr>
          <w:rFonts w:hint="eastAsia" w:ascii="仿宋_GB2312" w:eastAsia="仿宋_GB2312"/>
          <w:sz w:val="32"/>
          <w:szCs w:val="32"/>
        </w:rPr>
        <w:t>。</w:t>
      </w:r>
    </w:p>
    <w:p>
      <w:pPr>
        <w:spacing w:line="520" w:lineRule="exact"/>
        <w:ind w:firstLine="642"/>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（二）关于丽水市职业高级中学2023年收入预算情况说明</w:t>
      </w:r>
    </w:p>
    <w:p>
      <w:pPr>
        <w:spacing w:line="520" w:lineRule="exact"/>
        <w:ind w:firstLine="642"/>
        <w:rPr>
          <w:rFonts w:ascii="仿宋_GB2312" w:eastAsia="仿宋_GB2312"/>
          <w:color w:val="000000"/>
          <w:sz w:val="32"/>
          <w:szCs w:val="32"/>
        </w:rPr>
      </w:pPr>
      <w:r>
        <w:rPr>
          <w:rFonts w:hint="eastAsia" w:ascii="仿宋_GB2312" w:hAnsi="仿宋_GB2312" w:eastAsia="仿宋_GB2312" w:cs="仿宋_GB2312"/>
          <w:color w:val="000000"/>
          <w:sz w:val="32"/>
          <w:szCs w:val="32"/>
        </w:rPr>
        <w:t>丽水市职业高级中学2023年收入预算9325.80万元，比上年执行数减少4982.18万元，下</w:t>
      </w:r>
      <w:r>
        <w:rPr>
          <w:rFonts w:hint="eastAsia" w:ascii="仿宋_GB2312" w:hAnsi="仿宋_GB2312" w:eastAsia="仿宋_GB2312" w:cs="仿宋_GB2312"/>
          <w:color w:val="000000"/>
          <w:sz w:val="32"/>
        </w:rPr>
        <w:t>降34.8%，</w:t>
      </w:r>
      <w:r>
        <w:rPr>
          <w:rFonts w:hint="eastAsia" w:ascii="仿宋_GB2312" w:hAnsi="仿宋_GB2312" w:eastAsia="仿宋_GB2312" w:cs="仿宋_GB2312"/>
          <w:color w:val="000000"/>
          <w:sz w:val="32"/>
          <w:szCs w:val="32"/>
        </w:rPr>
        <w:t>主要是产教融合实训基地建设4000万元在2022年一次性安排到位，2023年该项目未安排资金；岗位技能实训基地等基建项目2023年进入尾期，资金安排也较少。</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其中：一般公共预算拨款收入8169.8万元，占87.6%；政府性基金收入696万元，占7.4%；专户资金260万元，占2.8%；事业单位经营收入200万元，占2.2%。</w:t>
      </w:r>
      <w:r>
        <w:rPr>
          <w:rFonts w:hint="eastAsia" w:ascii="仿宋_GB2312" w:eastAsia="仿宋_GB2312"/>
          <w:color w:val="000000"/>
          <w:sz w:val="32"/>
          <w:szCs w:val="32"/>
        </w:rPr>
        <w:br w:type="textWrapping"/>
      </w:r>
      <w:r>
        <w:rPr>
          <w:rFonts w:hint="eastAsia" w:ascii="楷体_GB2312" w:hAnsi="楷体_GB2312" w:eastAsia="楷体_GB2312" w:cs="楷体_GB2312"/>
          <w:bCs/>
          <w:color w:val="000000"/>
          <w:sz w:val="32"/>
          <w:szCs w:val="32"/>
        </w:rPr>
        <w:t>　　</w:t>
      </w:r>
      <w:r>
        <w:rPr>
          <w:rFonts w:hint="eastAsia" w:ascii="楷体_GB2312" w:hAnsi="楷体_GB2312" w:eastAsia="楷体_GB2312" w:cs="楷体_GB2312"/>
          <w:bCs/>
          <w:sz w:val="32"/>
          <w:szCs w:val="32"/>
        </w:rPr>
        <w:t>（三）关于丽水市职业高级中学2023年支出预算情况说明</w:t>
      </w:r>
      <w:r>
        <w:rPr>
          <w:rFonts w:hint="eastAsia" w:ascii="楷体_GB2312" w:hAnsi="楷体_GB2312" w:eastAsia="楷体_GB2312" w:cs="楷体_GB2312"/>
          <w:bCs/>
          <w:sz w:val="32"/>
          <w:szCs w:val="32"/>
        </w:rPr>
        <w:br w:type="textWrapping"/>
      </w:r>
      <w:r>
        <w:rPr>
          <w:rFonts w:hint="eastAsia" w:ascii="仿宋_GB2312" w:eastAsia="仿宋_GB2312"/>
          <w:sz w:val="32"/>
          <w:szCs w:val="32"/>
        </w:rPr>
        <w:t>　</w:t>
      </w:r>
      <w:r>
        <w:rPr>
          <w:rFonts w:hint="eastAsia" w:ascii="仿宋_GB2312" w:hAnsi="仿宋_GB2312" w:eastAsia="仿宋_GB2312" w:cs="仿宋_GB2312"/>
          <w:sz w:val="32"/>
          <w:szCs w:val="32"/>
        </w:rPr>
        <w:t>　丽水市</w:t>
      </w:r>
      <w:r>
        <w:rPr>
          <w:rFonts w:hint="eastAsia" w:ascii="仿宋_GB2312" w:hAnsi="仿宋_GB2312" w:eastAsia="仿宋_GB2312" w:cs="仿宋_GB2312"/>
          <w:color w:val="000000"/>
          <w:sz w:val="32"/>
          <w:szCs w:val="32"/>
        </w:rPr>
        <w:t>职业高级中学2023年支出预算9325.80万元，比上年执行数减少3328.89万元，</w:t>
      </w:r>
      <w:r>
        <w:rPr>
          <w:rFonts w:hint="eastAsia" w:ascii="仿宋_GB2312" w:hAnsi="仿宋_GB2312" w:eastAsia="仿宋_GB2312" w:cs="仿宋_GB2312"/>
          <w:color w:val="000000"/>
          <w:sz w:val="32"/>
        </w:rPr>
        <w:t>下降26.3%，</w:t>
      </w:r>
      <w:r>
        <w:rPr>
          <w:rFonts w:hint="eastAsia" w:ascii="仿宋_GB2312" w:hAnsi="仿宋_GB2312" w:eastAsia="仿宋_GB2312" w:cs="仿宋_GB2312"/>
          <w:color w:val="000000"/>
          <w:sz w:val="32"/>
          <w:szCs w:val="32"/>
        </w:rPr>
        <w:t>主要是产教融合实训基地建设、岗位技能实训基地项目等基建项目进入尾期，资金安排较少。</w:t>
      </w:r>
    </w:p>
    <w:p>
      <w:pPr>
        <w:spacing w:line="520" w:lineRule="exact"/>
        <w:ind w:firstLine="630"/>
        <w:rPr>
          <w:rFonts w:ascii="仿宋_GB2312" w:eastAsia="仿宋_GB2312"/>
          <w:color w:val="000000"/>
          <w:sz w:val="32"/>
          <w:szCs w:val="32"/>
        </w:rPr>
      </w:pPr>
      <w:r>
        <w:rPr>
          <w:rFonts w:hint="eastAsia" w:ascii="仿宋_GB2312" w:eastAsia="仿宋_GB2312"/>
          <w:color w:val="000000"/>
          <w:sz w:val="32"/>
          <w:szCs w:val="32"/>
        </w:rPr>
        <w:t>1.按支出功能分类，包括教育支出7572.76万元、社会保障和就业支出614.87万元、卫生健康支出442.17万元、城乡社区支出696万元。</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2.按支出用途分类，包括人员支出6650.01万元，占71.3%；日常公用支出350.09万元，占3.8%；项目支出2125.7万元，占22.8%；事业单位经营支出200万元，占2.1%。</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结转下年0万元。</w:t>
      </w:r>
    </w:p>
    <w:p>
      <w:pPr>
        <w:spacing w:line="520" w:lineRule="exact"/>
        <w:ind w:firstLine="627" w:firstLineChars="196"/>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（四）关于丽水市职业高级中学2023年财政拨款收支预算情况的总体说明</w:t>
      </w:r>
    </w:p>
    <w:p>
      <w:pPr>
        <w:spacing w:line="520" w:lineRule="exact"/>
        <w:ind w:firstLine="640"/>
        <w:rPr>
          <w:rFonts w:ascii="仿宋_GB2312" w:eastAsia="仿宋_GB2312"/>
          <w:color w:val="000000"/>
          <w:sz w:val="32"/>
          <w:szCs w:val="32"/>
        </w:rPr>
      </w:pPr>
      <w:r>
        <w:rPr>
          <w:rFonts w:hint="eastAsia" w:ascii="仿宋_GB2312" w:eastAsia="仿宋_GB2312"/>
          <w:color w:val="000000"/>
          <w:sz w:val="32"/>
          <w:szCs w:val="32"/>
        </w:rPr>
        <w:t>丽水市职业高级中学2023年财政拨款收支总预算8865.80万元。收入包括：一般公共预算8169.80万元、政府性基金696万元；支出包括：教育支出7112.76万元、社会保障和就业支出614.87万元、卫生健康支出442.17万元、城乡社区支出696万元。</w:t>
      </w:r>
    </w:p>
    <w:p>
      <w:pPr>
        <w:numPr>
          <w:ilvl w:val="0"/>
          <w:numId w:val="1"/>
        </w:numPr>
        <w:spacing w:line="520" w:lineRule="exact"/>
        <w:ind w:firstLine="64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关于丽水市职业高级中学2023年一般公共预算当年拨款情况说明</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1.一般公共预算当年拨款规模变化情况。</w:t>
      </w:r>
    </w:p>
    <w:p>
      <w:pPr>
        <w:spacing w:line="520" w:lineRule="exact"/>
        <w:ind w:firstLine="642"/>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丽水市职业高级中学2023年一般公共预算当年拨款8169.80万元，比上年执行数减少666.91万元，下</w:t>
      </w:r>
      <w:r>
        <w:rPr>
          <w:rFonts w:hint="eastAsia" w:ascii="仿宋_GB2312" w:hAnsi="仿宋_GB2312" w:eastAsia="仿宋_GB2312" w:cs="仿宋_GB2312"/>
          <w:color w:val="000000"/>
          <w:sz w:val="32"/>
        </w:rPr>
        <w:t>降7.6%，</w:t>
      </w:r>
      <w:r>
        <w:rPr>
          <w:rFonts w:hint="eastAsia" w:ascii="仿宋_GB2312" w:hAnsi="仿宋_GB2312" w:eastAsia="仿宋_GB2312" w:cs="仿宋_GB2312"/>
          <w:color w:val="000000"/>
          <w:sz w:val="32"/>
          <w:szCs w:val="32"/>
        </w:rPr>
        <w:t>主要是项目支出及社会保障支出有小幅下降</w:t>
      </w:r>
      <w:r>
        <w:rPr>
          <w:rFonts w:hint="eastAsia" w:ascii="仿宋_GB2312" w:hAnsi="仿宋_GB2312" w:eastAsia="仿宋_GB2312" w:cs="仿宋_GB2312"/>
          <w:sz w:val="32"/>
          <w:szCs w:val="32"/>
        </w:rPr>
        <w:t>。</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2.一般公共预算当年拨款结构情况。</w:t>
      </w:r>
    </w:p>
    <w:p>
      <w:pPr>
        <w:spacing w:line="520" w:lineRule="exact"/>
        <w:ind w:firstLine="640" w:firstLineChars="200"/>
        <w:rPr>
          <w:rFonts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教育（类）支出7112.76万元，占87.1%；社会保障和就业（类）支出614.87万元，占7.5%；卫生健康（类）支出442.17万元，占5.4%。</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3.一般公共预算当年拨款具体使用情况。</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（1）教育支出（类）职业教育（款）中等职业教育（项）7112.76万元，主要用于人员经费、公用经费和项目支出，确保学校基本的保障运行。</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（2）社会保障和就业支出（类）行政事业单位养老支出（款）机关事业单位基本养老保险缴费支出（项）379.24万元，主要用于人员基本养老保险缴费支出。</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（3）社会保障和就业支出（类）行政事业单位养老支出（款）机关事业单位职业年金缴费支出（项）189.62万元，主要用于人员基本职业年金缴费支出。</w:t>
      </w:r>
    </w:p>
    <w:p>
      <w:pPr>
        <w:spacing w:line="520" w:lineRule="exact"/>
        <w:ind w:firstLine="640"/>
      </w:pPr>
      <w:r>
        <w:rPr>
          <w:rFonts w:hint="eastAsia" w:ascii="仿宋_GB2312" w:hAnsi="仿宋_GB2312" w:eastAsia="仿宋_GB2312" w:cs="仿宋_GB2312"/>
          <w:color w:val="000000"/>
          <w:sz w:val="32"/>
          <w:szCs w:val="32"/>
        </w:rPr>
        <w:t>（4）社会保障和就业支出（类）其他社会保障和就业支出（款）其他社会保障和就业支出（项）46.01万元，主要用于人员失业保险、生育保险缴费支出。</w:t>
      </w:r>
    </w:p>
    <w:p>
      <w:pPr>
        <w:spacing w:line="520" w:lineRule="exact"/>
        <w:ind w:firstLine="640"/>
      </w:pPr>
      <w:r>
        <w:rPr>
          <w:rFonts w:hint="eastAsia" w:ascii="仿宋_GB2312" w:hAnsi="仿宋_GB2312" w:eastAsia="仿宋_GB2312" w:cs="仿宋_GB2312"/>
          <w:color w:val="000000"/>
          <w:sz w:val="32"/>
          <w:szCs w:val="32"/>
        </w:rPr>
        <w:t>（5）卫生健康支出（类）行政事业单位医疗（款）事业单位医疗（项）442.17万元，主要用于人员医疗保险缴费支出。</w:t>
      </w:r>
    </w:p>
    <w:p>
      <w:pPr>
        <w:spacing w:line="520" w:lineRule="exact"/>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 xml:space="preserve">    （六）关于丽水市职业高级中学2023年一般公共预算基本支出情况说明</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丽水市职业高级中学2023年一般公共预算基本支出7000.10万元，其中：</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人员经费6650.01万元，主要包括：基本工资、奖金、绩效工资、机关事业单位基本养老保险缴费、职业年金缴费、职工基本医疗保险缴费、公务员医疗补助缴费、其他社会保障缴费、住房公积金、其他工资福利支出、离休费、退休费、生活补助、奖励金；</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公用经费350.09万元，主要包括：邮电费、工会经费、福利费。</w:t>
      </w:r>
    </w:p>
    <w:p>
      <w:pPr>
        <w:spacing w:line="520" w:lineRule="exact"/>
        <w:ind w:firstLine="642"/>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（七）关于丽水市职业高级中学2023年政府性基金预算支出情况说明</w:t>
      </w:r>
    </w:p>
    <w:p>
      <w:pPr>
        <w:spacing w:line="520" w:lineRule="exact"/>
        <w:rPr>
          <w:rFonts w:ascii="仿宋_GB2312" w:hAnsi="仿宋_GB2312" w:eastAsia="仿宋_GB2312" w:cs="仿宋_GB2312"/>
          <w:b/>
          <w:color w:val="000000"/>
          <w:sz w:val="32"/>
          <w:szCs w:val="32"/>
        </w:rPr>
      </w:pPr>
      <w:r>
        <w:rPr>
          <w:rFonts w:hint="eastAsia" w:ascii="仿宋_GB2312" w:eastAsia="仿宋_GB2312"/>
          <w:color w:val="000000"/>
          <w:sz w:val="32"/>
          <w:szCs w:val="32"/>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b/>
          <w:color w:val="000000"/>
          <w:sz w:val="32"/>
          <w:szCs w:val="32"/>
        </w:rPr>
        <w:t>1.政府性基金预算当年拨款规模变化情况。</w:t>
      </w:r>
    </w:p>
    <w:p>
      <w:pPr>
        <w:spacing w:line="520" w:lineRule="exact"/>
        <w:ind w:firstLine="642"/>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丽水市职业高级中学2023年政府性基金预算当年拨款696万元，比2022年执行数减少4239.7万元，</w:t>
      </w:r>
      <w:r>
        <w:rPr>
          <w:rFonts w:hint="eastAsia" w:ascii="仿宋_GB2312" w:hAnsi="仿宋_GB2312" w:eastAsia="仿宋_GB2312" w:cs="仿宋_GB2312"/>
          <w:color w:val="000000"/>
          <w:sz w:val="32"/>
        </w:rPr>
        <w:t>下降85.9%，</w:t>
      </w:r>
      <w:r>
        <w:rPr>
          <w:rFonts w:hint="eastAsia" w:ascii="仿宋_GB2312" w:hAnsi="仿宋_GB2312" w:eastAsia="仿宋_GB2312" w:cs="仿宋_GB2312"/>
          <w:sz w:val="32"/>
          <w:szCs w:val="32"/>
        </w:rPr>
        <w:t>主要是</w:t>
      </w:r>
      <w:r>
        <w:rPr>
          <w:rFonts w:hint="eastAsia" w:ascii="仿宋_GB2312" w:hAnsi="仿宋_GB2312" w:eastAsia="仿宋_GB2312" w:cs="仿宋_GB2312"/>
          <w:color w:val="000000"/>
          <w:sz w:val="32"/>
          <w:szCs w:val="32"/>
        </w:rPr>
        <w:t>产教融合实训基地建设4000万元在2022年一次性安排到位，2023年该项目未安排资金；岗位技能实训基地等基建项目2023年进入尾期，资金安排也较少。</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2.政府性基金预算当年拨款结构情况。</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城乡社区支出（类）支出696万元，占100%。</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3.政府性基金预算当年拨款具体使用情况。</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（1）城乡社区支出（类）国有土地使用权出让收入安排的支出（款）城市建设支出（项）696万元，主要用于岗位技能实训基地、校园完整工程的基建项目。</w:t>
      </w:r>
    </w:p>
    <w:p>
      <w:pPr>
        <w:spacing w:line="520" w:lineRule="exact"/>
        <w:ind w:firstLine="627" w:firstLineChars="196"/>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（八）关于丽水市职业高级中学2023年国有资本经营预算支出情况说明</w:t>
      </w:r>
    </w:p>
    <w:p>
      <w:pPr>
        <w:spacing w:line="520" w:lineRule="exact"/>
        <w:ind w:left="477" w:leftChars="227"/>
        <w:rPr>
          <w:rFonts w:ascii="仿宋_GB2312" w:hAnsi="仿宋_GB2312" w:eastAsia="仿宋_GB2312" w:cs="仿宋_GB2312"/>
          <w:color w:val="000000"/>
          <w:sz w:val="32"/>
          <w:szCs w:val="32"/>
        </w:rPr>
      </w:pPr>
      <w:r>
        <w:rPr>
          <w:rFonts w:hint="eastAsia" w:ascii="仿宋_GB2312" w:eastAsia="仿宋_GB2312"/>
          <w:color w:val="000000"/>
          <w:sz w:val="32"/>
          <w:szCs w:val="32"/>
        </w:rPr>
        <w:t xml:space="preserve">   </w:t>
      </w:r>
      <w:r>
        <w:rPr>
          <w:rFonts w:hint="eastAsia" w:ascii="仿宋_GB2312" w:hAnsi="仿宋_GB2312" w:eastAsia="仿宋_GB2312" w:cs="仿宋_GB2312"/>
          <w:color w:val="000000"/>
          <w:sz w:val="32"/>
          <w:szCs w:val="32"/>
        </w:rPr>
        <w:t xml:space="preserve"> 丽水市职业高级中学2023年没有使用国有资本经营预算拨款安排的支出。</w:t>
      </w:r>
    </w:p>
    <w:p>
      <w:pPr>
        <w:spacing w:line="520" w:lineRule="exact"/>
        <w:ind w:firstLine="627" w:firstLineChars="196"/>
        <w:rPr>
          <w:rFonts w:ascii="楷体_GB2312" w:hAnsi="楷体_GB2312" w:eastAsia="楷体_GB2312" w:cs="楷体_GB2312"/>
          <w:b/>
          <w:bCs/>
          <w:sz w:val="32"/>
          <w:szCs w:val="32"/>
        </w:rPr>
      </w:pPr>
      <w:r>
        <w:rPr>
          <w:rFonts w:hint="eastAsia" w:ascii="楷体_GB2312" w:hAnsi="楷体_GB2312" w:eastAsia="楷体_GB2312" w:cs="楷体_GB2312"/>
          <w:bCs/>
          <w:color w:val="000000"/>
          <w:sz w:val="32"/>
          <w:szCs w:val="32"/>
        </w:rPr>
        <w:t>（九）关于丽水市职业高级中学2023年</w:t>
      </w:r>
      <w:r>
        <w:rPr>
          <w:rFonts w:hint="eastAsia" w:ascii="楷体_GB2312" w:hAnsi="楷体_GB2312" w:eastAsia="楷体_GB2312" w:cs="楷体_GB2312"/>
          <w:bCs/>
          <w:sz w:val="32"/>
          <w:szCs w:val="32"/>
        </w:rPr>
        <w:t>一般公共预算</w:t>
      </w:r>
      <w:r>
        <w:rPr>
          <w:rFonts w:hint="eastAsia" w:ascii="楷体_GB2312" w:hAnsi="楷体_GB2312" w:eastAsia="楷体_GB2312" w:cs="楷体_GB2312"/>
          <w:bCs/>
          <w:color w:val="000000"/>
          <w:sz w:val="32"/>
          <w:szCs w:val="32"/>
        </w:rPr>
        <w:t>“三公”经费预算情况说明。</w:t>
      </w:r>
    </w:p>
    <w:p>
      <w:pPr>
        <w:spacing w:line="520" w:lineRule="exact"/>
        <w:ind w:firstLine="640" w:firstLineChars="200"/>
        <w:rPr>
          <w:rFonts w:ascii="仿宋_GB2312" w:hAnsi="仿宋_GB2312" w:eastAsia="仿宋_GB2312"/>
          <w:sz w:val="32"/>
        </w:rPr>
      </w:pPr>
      <w:r>
        <w:rPr>
          <w:rFonts w:hint="eastAsia" w:ascii="仿宋_GB2312" w:eastAsia="仿宋_GB2312"/>
          <w:color w:val="000000"/>
          <w:sz w:val="32"/>
          <w:szCs w:val="32"/>
        </w:rPr>
        <w:t>丽水市职业高级中学</w:t>
      </w:r>
      <w:r>
        <w:rPr>
          <w:rFonts w:hint="eastAsia" w:ascii="仿宋_GB2312" w:hAnsi="仿宋_GB2312" w:eastAsia="仿宋_GB2312"/>
          <w:sz w:val="32"/>
        </w:rPr>
        <w:t>2023年“三公”经费预算数为</w:t>
      </w:r>
      <w:r>
        <w:rPr>
          <w:rFonts w:hint="eastAsia" w:ascii="仿宋_GB2312" w:eastAsia="仿宋_GB2312"/>
          <w:color w:val="000000"/>
          <w:sz w:val="32"/>
          <w:szCs w:val="32"/>
        </w:rPr>
        <w:t>2</w:t>
      </w:r>
      <w:r>
        <w:rPr>
          <w:rFonts w:hint="eastAsia" w:ascii="仿宋_GB2312" w:hAnsi="仿宋_GB2312" w:eastAsia="仿宋_GB2312"/>
          <w:sz w:val="32"/>
        </w:rPr>
        <w:t>万元，</w:t>
      </w:r>
      <w:r>
        <w:rPr>
          <w:rFonts w:hint="eastAsia" w:ascii="仿宋_GB2312" w:hAnsi="仿宋_GB2312" w:eastAsia="仿宋_GB2312" w:cs="仿宋_GB2312"/>
          <w:sz w:val="32"/>
          <w:szCs w:val="32"/>
        </w:rPr>
        <w:t>与上年预算数持平。</w:t>
      </w:r>
      <w:r>
        <w:rPr>
          <w:rFonts w:hint="eastAsia" w:ascii="仿宋_GB2312" w:hAnsi="仿宋_GB2312" w:eastAsia="仿宋_GB2312"/>
          <w:sz w:val="32"/>
        </w:rPr>
        <w:t>具体如下：</w:t>
      </w:r>
    </w:p>
    <w:p>
      <w:pPr>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1.因公出国（境）费用：</w:t>
      </w:r>
      <w:r>
        <w:rPr>
          <w:rFonts w:hint="eastAsia" w:ascii="仿宋_GB2312" w:hAnsi="仿宋_GB2312" w:eastAsia="仿宋_GB2312" w:cs="仿宋_GB2312"/>
          <w:sz w:val="32"/>
          <w:szCs w:val="32"/>
        </w:rPr>
        <w:t>2023年安排因公出国（境）费用预算</w:t>
      </w:r>
      <w:r>
        <w:rPr>
          <w:rFonts w:hint="eastAsia" w:ascii="仿宋_GB2312" w:eastAsia="仿宋_GB2312"/>
          <w:color w:val="000000"/>
          <w:sz w:val="32"/>
          <w:szCs w:val="32"/>
        </w:rPr>
        <w:t>0</w:t>
      </w:r>
      <w:r>
        <w:rPr>
          <w:rFonts w:hint="eastAsia" w:ascii="仿宋_GB2312" w:hAnsi="仿宋_GB2312" w:eastAsia="仿宋_GB2312" w:cs="仿宋_GB2312"/>
          <w:sz w:val="32"/>
          <w:szCs w:val="32"/>
        </w:rPr>
        <w:t>万元，与上年预算数持平。</w:t>
      </w:r>
      <w:r>
        <w:rPr>
          <w:rFonts w:hint="eastAsia" w:ascii="仿宋_GB2312" w:hAnsi="仿宋" w:eastAsia="仿宋_GB2312"/>
          <w:sz w:val="32"/>
          <w:szCs w:val="32"/>
        </w:rPr>
        <w:t>主要原因是：2023年因公出国（境）预算由财政统留管理，未编列到年初部门预算中。根据市外办安排的因公出国计划和实际工作需要，经批准同意因公出国（境）的，所需指标由财政按实追加部门年度“三公”经费预算额度。</w:t>
      </w:r>
      <w:r>
        <w:rPr>
          <w:rFonts w:hint="eastAsia" w:ascii="仿宋_GB2312" w:hAnsi="仿宋_GB2312" w:eastAsia="仿宋_GB2312" w:cs="仿宋_GB2312"/>
          <w:kern w:val="0"/>
          <w:sz w:val="32"/>
          <w:szCs w:val="32"/>
        </w:rPr>
        <w:t>因公出国（境）费用</w:t>
      </w:r>
      <w:r>
        <w:rPr>
          <w:rFonts w:hint="eastAsia" w:ascii="仿宋_GB2312" w:hAnsi="仿宋_GB2312" w:eastAsia="仿宋_GB2312" w:cs="仿宋_GB2312"/>
          <w:sz w:val="32"/>
          <w:szCs w:val="32"/>
        </w:rPr>
        <w:t>主要用于机关及下属预算单位人员的公务出国（境）的国际旅费、国外城市间交通费、住宿费、伙食费、培训费、公杂费等支出。</w:t>
      </w:r>
    </w:p>
    <w:p>
      <w:pPr>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2.公务接待费：2023年安排公务接待费预算</w:t>
      </w:r>
      <w:r>
        <w:rPr>
          <w:rFonts w:hint="eastAsia" w:ascii="仿宋_GB2312" w:eastAsia="仿宋_GB2312"/>
          <w:color w:val="000000"/>
          <w:sz w:val="32"/>
          <w:szCs w:val="32"/>
        </w:rPr>
        <w:t>2</w:t>
      </w:r>
      <w:r>
        <w:rPr>
          <w:rFonts w:hint="eastAsia" w:ascii="仿宋_GB2312" w:hAnsi="仿宋_GB2312" w:eastAsia="仿宋_GB2312" w:cs="仿宋_GB2312"/>
          <w:sz w:val="32"/>
          <w:szCs w:val="32"/>
        </w:rPr>
        <w:t>万元，与上年预算数持平。主要用于接待教学业务、学校管理经验交流等工作的接待支出。</w:t>
      </w:r>
    </w:p>
    <w:p>
      <w:pPr>
        <w:pStyle w:val="17"/>
        <w:spacing w:line="520" w:lineRule="exact"/>
        <w:ind w:firstLine="640" w:firstLineChars="200"/>
        <w:rPr>
          <w:rFonts w:ascii="仿宋_GB2312" w:eastAsia="仿宋_GB2312"/>
          <w:b/>
          <w:bCs/>
          <w:color w:val="000000"/>
          <w:sz w:val="32"/>
          <w:szCs w:val="32"/>
        </w:rPr>
      </w:pPr>
      <w:r>
        <w:rPr>
          <w:rFonts w:hint="eastAsia" w:ascii="仿宋_GB2312" w:eastAsia="仿宋_GB2312"/>
          <w:sz w:val="32"/>
          <w:szCs w:val="32"/>
        </w:rPr>
        <w:t>3.公务用车购置及运行维护费：2023年安排公务用车购置及运行维护费预算</w:t>
      </w:r>
      <w:r>
        <w:rPr>
          <w:rFonts w:hint="eastAsia" w:ascii="仿宋_GB2312" w:eastAsia="仿宋_GB2312"/>
          <w:color w:val="000000"/>
          <w:sz w:val="32"/>
          <w:szCs w:val="32"/>
        </w:rPr>
        <w:t>0</w:t>
      </w:r>
      <w:r>
        <w:rPr>
          <w:rFonts w:hint="eastAsia" w:ascii="仿宋_GB2312" w:eastAsia="仿宋_GB2312"/>
          <w:sz w:val="32"/>
          <w:szCs w:val="32"/>
        </w:rPr>
        <w:t>万元，</w:t>
      </w:r>
      <w:r>
        <w:rPr>
          <w:rFonts w:hint="eastAsia" w:ascii="仿宋_GB2312" w:hAnsi="仿宋_GB2312" w:eastAsia="仿宋_GB2312" w:cs="仿宋_GB2312"/>
          <w:sz w:val="32"/>
          <w:szCs w:val="32"/>
        </w:rPr>
        <w:t>与上年数持平。其中，公务用车购置支出0万元（含购置税等附加费用），与上年执行数持平；公务用车运行维护费支出0万元，与上年数持平。</w:t>
      </w:r>
    </w:p>
    <w:p>
      <w:pPr>
        <w:spacing w:line="520" w:lineRule="exact"/>
        <w:ind w:firstLine="627" w:firstLineChars="196"/>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7"/>
        <w:spacing w:line="520" w:lineRule="exact"/>
        <w:ind w:firstLine="643" w:firstLineChars="200"/>
        <w:rPr>
          <w:rFonts w:ascii="仿宋_GB2312" w:eastAsia="仿宋_GB2312"/>
          <w:b/>
          <w:bCs/>
          <w:sz w:val="32"/>
          <w:szCs w:val="32"/>
        </w:rPr>
      </w:pPr>
      <w:r>
        <w:rPr>
          <w:rFonts w:hint="eastAsia" w:ascii="仿宋_GB2312" w:eastAsia="仿宋_GB2312"/>
          <w:b/>
          <w:bCs/>
          <w:sz w:val="32"/>
          <w:szCs w:val="32"/>
        </w:rPr>
        <w:t>1、政府采购情况。</w:t>
      </w:r>
    </w:p>
    <w:p>
      <w:pPr>
        <w:pStyle w:val="17"/>
        <w:spacing w:line="520" w:lineRule="exact"/>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color w:val="000000"/>
          <w:sz w:val="32"/>
          <w:szCs w:val="32"/>
        </w:rPr>
        <w:t>丽水市职业高级中学各单位政府采购预算总额232.50万元，其中：政府采购服务预算232.50万元。</w:t>
      </w:r>
    </w:p>
    <w:p>
      <w:pPr>
        <w:pStyle w:val="17"/>
        <w:spacing w:line="520" w:lineRule="exact"/>
        <w:ind w:firstLine="642"/>
        <w:rPr>
          <w:rFonts w:ascii="仿宋_GB2312" w:eastAsia="仿宋_GB2312"/>
          <w:sz w:val="32"/>
          <w:szCs w:val="32"/>
        </w:rPr>
      </w:pPr>
      <w:r>
        <w:rPr>
          <w:rFonts w:hint="eastAsia" w:ascii="仿宋_GB2312" w:eastAsia="仿宋_GB2312"/>
          <w:b/>
          <w:bCs/>
          <w:sz w:val="32"/>
          <w:szCs w:val="32"/>
        </w:rPr>
        <w:t>2.国有资产占有使用情况。</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截至2022年12月31日，丽水市职业高级中学所属各预算单位共有车辆0辆。单位价值50万元以上通用设备0台（套），单位价值100万元以上专用设备0台（套）。</w:t>
      </w:r>
    </w:p>
    <w:p>
      <w:pPr>
        <w:pStyle w:val="2"/>
        <w:rPr>
          <w:rFonts w:cs="仿宋_GB2312"/>
          <w:color w:val="auto"/>
          <w:kern w:val="2"/>
          <w:sz w:val="32"/>
          <w:szCs w:val="32"/>
        </w:rPr>
      </w:pPr>
      <w:r>
        <w:t xml:space="preserve">    </w:t>
      </w:r>
      <w:r>
        <w:rPr>
          <w:rFonts w:cs="仿宋_GB2312"/>
          <w:color w:val="auto"/>
          <w:kern w:val="2"/>
          <w:sz w:val="32"/>
          <w:szCs w:val="32"/>
        </w:rPr>
        <w:t xml:space="preserve"> 2023年单位预算未安排购置车辆、单位价值50万元以上通用设备及单位价值100万元以上专用设备。</w:t>
      </w:r>
    </w:p>
    <w:p>
      <w:pPr>
        <w:pStyle w:val="17"/>
        <w:spacing w:line="520" w:lineRule="exact"/>
        <w:rPr>
          <w:rFonts w:ascii="仿宋_GB2312" w:eastAsia="仿宋_GB2312"/>
          <w:b/>
          <w:bCs/>
          <w:sz w:val="32"/>
          <w:szCs w:val="32"/>
        </w:rPr>
      </w:pPr>
      <w:r>
        <w:rPr>
          <w:rFonts w:hint="eastAsia" w:ascii="仿宋_GB2312" w:eastAsia="仿宋_GB2312"/>
          <w:b/>
          <w:bCs/>
          <w:sz w:val="32"/>
          <w:szCs w:val="32"/>
        </w:rPr>
        <w:t xml:space="preserve">    3.预算绩效情况说明。</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2023年丽水市职业高级中学其他运转类项目和特定目标类项目均实行绩效目标管理，涉及一般公共预算当年拨款1169.70万元，一级项目1个。</w:t>
      </w:r>
    </w:p>
    <w:p>
      <w:pPr>
        <w:pStyle w:val="17"/>
        <w:spacing w:line="520" w:lineRule="exact"/>
        <w:ind w:firstLine="640" w:firstLineChars="200"/>
        <w:rPr>
          <w:rFonts w:ascii="黑体" w:hAnsi="黑体" w:eastAsia="黑体" w:cs="黑体"/>
          <w:bCs/>
          <w:kern w:val="2"/>
          <w:sz w:val="32"/>
          <w:szCs w:val="32"/>
        </w:rPr>
      </w:pPr>
      <w:r>
        <w:rPr>
          <w:rFonts w:hint="eastAsia" w:ascii="黑体" w:hAnsi="黑体" w:eastAsia="黑体" w:cs="黑体"/>
          <w:bCs/>
          <w:kern w:val="2"/>
          <w:sz w:val="32"/>
          <w:szCs w:val="32"/>
        </w:rPr>
        <w:t>三、名词解释</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1.财政拨款收入：本级财政部门当年拨付的财政预算资金，包括一般公共预算财政拨款、政府性基金预算和国有资本经营预算财政拨款。</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2.专户资金:教育收费作为本部门的事业收入，纳入财政专户管理的资金。</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3.事业收入：事业单位开展专业业务活动及辅助活动所取得的收入，不含专户资金收入。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4.事业单位经营收入：事业单位在专业业务活动及辅助活动之外开展非独立核算经营活动取得的收入。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5.其他收入：预算单位在“一般公共预算”“政府性基金”“专户资金”“事业收入”“事业单位经营收入”等之外取得的各项收入（含上级补助收入和附属单位缴款等收入）。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用事业基金弥补收支差额：指事业单位在预计用当年的“财政拨款收入”“专户资金”“事业收入”“事业单位经营收入”“其他收入”“上年结转”等不足以安排当年支出的情况下，使用以前年度积累的事业基金弥补本年收支缺口的资金。</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7.上年结转：指以前年度尚未完成、结转到本年仍按原规定用途继续使用的资金。</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8.基本支出：是预算单位为保障其正常运转，完成日常工作任务所发生的支出，包括人员支出和日常公用支出。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9.项目支出：是预算单位为完成其特定的行政工作任务或事业发展目标所发生的支出。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10.经营支出：指事业单位在专业业务活动及其辅助活动之外开展非独立核算经营活动发生的支出。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color w:val="000000"/>
          <w:sz w:val="32"/>
          <w:szCs w:val="32"/>
        </w:rPr>
        <w:t>教育支出（类）职业教育（款）中等职业教育（项）</w:t>
      </w:r>
      <w:r>
        <w:rPr>
          <w:rFonts w:hint="eastAsia" w:ascii="仿宋_GB2312" w:hAnsi="仿宋_GB2312" w:eastAsia="仿宋_GB2312" w:cs="仿宋_GB2312"/>
          <w:sz w:val="32"/>
          <w:szCs w:val="32"/>
        </w:rPr>
        <w:t>：指</w:t>
      </w:r>
      <w:r>
        <w:rPr>
          <w:rFonts w:hint="eastAsia" w:ascii="仿宋" w:hAnsi="仿宋" w:eastAsia="仿宋"/>
          <w:color w:val="000000"/>
          <w:sz w:val="32"/>
          <w:szCs w:val="24"/>
          <w:highlight w:val="white"/>
        </w:rPr>
        <w:t>反映各部门（不含人力资源社会保障部门）举办的中等职业教育支出，政府各部门对社会组织等举办的中等职业学校资助，如捐赠、补贴等也在本科目反映。</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w:t>
      </w:r>
      <w:r>
        <w:rPr>
          <w:rFonts w:hint="eastAsia" w:ascii="仿宋_GB2312" w:hAnsi="仿宋_GB2312" w:eastAsia="仿宋_GB2312" w:cs="仿宋_GB2312"/>
          <w:color w:val="000000"/>
          <w:sz w:val="32"/>
          <w:szCs w:val="32"/>
        </w:rPr>
        <w:t>社会保障和就业支出（类）行政事业单位养老支出（款）机关事业单位基本养老保险缴费支出（项）</w:t>
      </w:r>
      <w:r>
        <w:rPr>
          <w:rFonts w:hint="eastAsia" w:ascii="仿宋_GB2312" w:hAnsi="仿宋_GB2312" w:eastAsia="仿宋_GB2312" w:cs="仿宋_GB2312"/>
          <w:sz w:val="32"/>
          <w:szCs w:val="32"/>
        </w:rPr>
        <w:t>：</w:t>
      </w:r>
      <w:r>
        <w:rPr>
          <w:rFonts w:hint="eastAsia" w:ascii="仿宋" w:hAnsi="仿宋" w:eastAsia="仿宋"/>
          <w:color w:val="000000"/>
          <w:sz w:val="32"/>
          <w:szCs w:val="24"/>
          <w:highlight w:val="white"/>
        </w:rPr>
        <w:t>指反映机关事业实施养老保险制度由单位缴纳的基本养老保险支出</w:t>
      </w:r>
      <w:r>
        <w:rPr>
          <w:rFonts w:hint="eastAsia" w:ascii="仿宋_GB2312" w:hAnsi="仿宋_GB2312" w:eastAsia="仿宋_GB2312" w:cs="仿宋_GB2312"/>
          <w:sz w:val="32"/>
          <w:szCs w:val="32"/>
        </w:rPr>
        <w:t>。</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eastAsia" w:ascii="仿宋_GB2312" w:hAnsi="仿宋_GB2312" w:eastAsia="仿宋_GB2312" w:cs="仿宋_GB2312"/>
          <w:color w:val="000000"/>
          <w:sz w:val="32"/>
          <w:szCs w:val="32"/>
        </w:rPr>
        <w:t>社会保障和就业支出（类）行政事业单位养老支出（款）机关事业单位职业年金缴费支出（项）</w:t>
      </w:r>
      <w:r>
        <w:rPr>
          <w:rFonts w:hint="eastAsia" w:ascii="仿宋_GB2312" w:hAnsi="仿宋_GB2312" w:eastAsia="仿宋_GB2312" w:cs="仿宋_GB2312"/>
          <w:sz w:val="32"/>
          <w:szCs w:val="32"/>
        </w:rPr>
        <w:t>：指</w:t>
      </w:r>
      <w:r>
        <w:rPr>
          <w:rFonts w:hint="eastAsia" w:ascii="仿宋" w:hAnsi="仿宋" w:eastAsia="仿宋"/>
          <w:color w:val="000000"/>
          <w:sz w:val="32"/>
          <w:szCs w:val="24"/>
          <w:highlight w:val="white"/>
        </w:rPr>
        <w:t>反映机关事业单位实施养老保险制度由单位实际缴纳的职业年金支出</w:t>
      </w:r>
      <w:r>
        <w:rPr>
          <w:rFonts w:hint="eastAsia" w:ascii="仿宋_GB2312" w:hAnsi="仿宋_GB2312" w:eastAsia="仿宋_GB2312" w:cs="仿宋_GB2312"/>
          <w:sz w:val="32"/>
          <w:szCs w:val="32"/>
        </w:rPr>
        <w:t>。</w:t>
      </w:r>
    </w:p>
    <w:p>
      <w:pPr>
        <w:spacing w:line="520" w:lineRule="exact"/>
        <w:ind w:firstLine="640" w:firstLineChars="200"/>
        <w:rPr>
          <w:rFonts w:ascii="仿宋_GB2312" w:hAnsi="仿宋_GB2312" w:eastAsia="仿宋" w:cs="仿宋_GB2312"/>
          <w:color w:val="000000"/>
          <w:sz w:val="32"/>
          <w:szCs w:val="32"/>
        </w:rPr>
      </w:pPr>
      <w:r>
        <w:rPr>
          <w:rFonts w:hint="eastAsia" w:ascii="仿宋_GB2312" w:hAnsi="仿宋_GB2312" w:eastAsia="仿宋_GB2312" w:cs="仿宋_GB2312"/>
          <w:sz w:val="32"/>
          <w:szCs w:val="32"/>
        </w:rPr>
        <w:t>15.</w:t>
      </w:r>
      <w:r>
        <w:rPr>
          <w:rFonts w:hint="eastAsia" w:ascii="仿宋_GB2312" w:hAnsi="仿宋_GB2312" w:eastAsia="仿宋_GB2312" w:cs="仿宋_GB2312"/>
          <w:color w:val="000000"/>
          <w:sz w:val="32"/>
          <w:szCs w:val="32"/>
        </w:rPr>
        <w:t>社会保障和就业支出（类）其他社会保障和就业支出（款）其他社会保障和就业支出（项）：指</w:t>
      </w:r>
      <w:r>
        <w:rPr>
          <w:rFonts w:hint="eastAsia" w:ascii="仿宋" w:hAnsi="仿宋" w:eastAsia="仿宋"/>
          <w:color w:val="000000"/>
          <w:sz w:val="32"/>
          <w:szCs w:val="24"/>
          <w:highlight w:val="white"/>
        </w:rPr>
        <w:t>其他用于社会保障和就业方面的支出。</w:t>
      </w:r>
    </w:p>
    <w:p>
      <w:pPr>
        <w:pStyle w:val="2"/>
        <w:ind w:firstLine="640"/>
        <w:rPr>
          <w:rFonts w:hint="default" w:cs="仿宋_GB2312"/>
          <w:sz w:val="32"/>
          <w:szCs w:val="32"/>
        </w:rPr>
      </w:pPr>
      <w:r>
        <w:rPr>
          <w:rFonts w:cs="仿宋_GB2312"/>
          <w:sz w:val="32"/>
          <w:szCs w:val="32"/>
        </w:rPr>
        <w:t>16</w:t>
      </w:r>
      <w:r>
        <w:rPr>
          <w:rFonts w:cs="仿宋_GB2312"/>
          <w:color w:val="auto"/>
          <w:sz w:val="32"/>
          <w:szCs w:val="32"/>
        </w:rPr>
        <w:t>.</w:t>
      </w:r>
      <w:r>
        <w:rPr>
          <w:rFonts w:cs="仿宋_GB2312"/>
          <w:sz w:val="32"/>
          <w:szCs w:val="32"/>
        </w:rPr>
        <w:t>卫生健康支出（类）行政事业单位医疗（款）事业单位医疗（项）：指反映财政部门安排的事业大内基本医疗保险缴费经费，未参加医疗报销的事业单位的公费医疗经费，按国家规定享受离休人员待遇的医疗经费。</w:t>
      </w:r>
    </w:p>
    <w:p>
      <w:pPr>
        <w:pStyle w:val="2"/>
        <w:ind w:firstLine="640"/>
        <w:rPr>
          <w:rFonts w:hint="default"/>
        </w:rPr>
      </w:pPr>
      <w:r>
        <w:rPr>
          <w:rFonts w:cs="仿宋_GB2312"/>
          <w:sz w:val="32"/>
          <w:szCs w:val="32"/>
        </w:rPr>
        <w:t>17.城乡社区支出（类）国有土地使用权出让收入安排的支出（款）城市建设支出（项）：</w:t>
      </w:r>
      <w:r>
        <w:rPr>
          <w:rFonts w:ascii="仿宋" w:hAnsi="仿宋" w:eastAsia="仿宋"/>
          <w:sz w:val="32"/>
          <w:szCs w:val="24"/>
          <w:highlight w:val="white"/>
        </w:rPr>
        <w:t>指反映土地出让收入用于完善国有土地使用功能的配套设施建设和城市基础设施建设支出。</w:t>
      </w:r>
    </w:p>
    <w:sectPr>
      <w:footerReference r:id="rId3" w:type="default"/>
      <w:pgSz w:w="11906" w:h="16838"/>
      <w:pgMar w:top="1440" w:right="1800" w:bottom="1440" w:left="1800" w:header="851" w:footer="992" w:gutter="0"/>
      <w:pgNumType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D327D5"/>
    <w:rsid w:val="00085AF5"/>
    <w:rsid w:val="00336C10"/>
    <w:rsid w:val="00523EB0"/>
    <w:rsid w:val="006A263A"/>
    <w:rsid w:val="00A77907"/>
    <w:rsid w:val="00B127D2"/>
    <w:rsid w:val="00C632D2"/>
    <w:rsid w:val="00D327D5"/>
    <w:rsid w:val="0432483D"/>
    <w:rsid w:val="081E7A13"/>
    <w:rsid w:val="0A665ECD"/>
    <w:rsid w:val="0C014F6D"/>
    <w:rsid w:val="0EAA57CA"/>
    <w:rsid w:val="11641E21"/>
    <w:rsid w:val="125B4450"/>
    <w:rsid w:val="13E64629"/>
    <w:rsid w:val="15EC252C"/>
    <w:rsid w:val="16EF5067"/>
    <w:rsid w:val="18AD554C"/>
    <w:rsid w:val="1D4B3AB7"/>
    <w:rsid w:val="1ED74D17"/>
    <w:rsid w:val="1EDE5F17"/>
    <w:rsid w:val="2212198A"/>
    <w:rsid w:val="245B3CCB"/>
    <w:rsid w:val="24DB720B"/>
    <w:rsid w:val="24F7427D"/>
    <w:rsid w:val="255258CA"/>
    <w:rsid w:val="27AF99D0"/>
    <w:rsid w:val="294837F2"/>
    <w:rsid w:val="29715D9D"/>
    <w:rsid w:val="2D8E211C"/>
    <w:rsid w:val="2F4042A0"/>
    <w:rsid w:val="32FF21F7"/>
    <w:rsid w:val="33910D2A"/>
    <w:rsid w:val="353E1DF4"/>
    <w:rsid w:val="35D24B6F"/>
    <w:rsid w:val="3787034C"/>
    <w:rsid w:val="39C7B2DC"/>
    <w:rsid w:val="3B5C4880"/>
    <w:rsid w:val="3B73ECAC"/>
    <w:rsid w:val="3D457133"/>
    <w:rsid w:val="3E054CA0"/>
    <w:rsid w:val="3E663D4F"/>
    <w:rsid w:val="3FF778EB"/>
    <w:rsid w:val="41260B4E"/>
    <w:rsid w:val="4413460B"/>
    <w:rsid w:val="461A7DB7"/>
    <w:rsid w:val="479F1816"/>
    <w:rsid w:val="49D92519"/>
    <w:rsid w:val="4AFA32A4"/>
    <w:rsid w:val="4FD36201"/>
    <w:rsid w:val="54C31518"/>
    <w:rsid w:val="55D14054"/>
    <w:rsid w:val="56432923"/>
    <w:rsid w:val="57550459"/>
    <w:rsid w:val="58FC11B7"/>
    <w:rsid w:val="5ABF2E0F"/>
    <w:rsid w:val="5BF9A05E"/>
    <w:rsid w:val="5CA47F6C"/>
    <w:rsid w:val="5EEFD4B0"/>
    <w:rsid w:val="5F1326B2"/>
    <w:rsid w:val="5FF3411D"/>
    <w:rsid w:val="602A539D"/>
    <w:rsid w:val="629C4984"/>
    <w:rsid w:val="6C260443"/>
    <w:rsid w:val="6E346EC4"/>
    <w:rsid w:val="702436C6"/>
    <w:rsid w:val="71071882"/>
    <w:rsid w:val="737A29C8"/>
    <w:rsid w:val="75053DA6"/>
    <w:rsid w:val="753064B9"/>
    <w:rsid w:val="759C24D2"/>
    <w:rsid w:val="76442312"/>
    <w:rsid w:val="76DFF3BC"/>
    <w:rsid w:val="77FF0865"/>
    <w:rsid w:val="77FFC04D"/>
    <w:rsid w:val="79AD5421"/>
    <w:rsid w:val="7A0E0441"/>
    <w:rsid w:val="7B7F4ADB"/>
    <w:rsid w:val="7BAF2D93"/>
    <w:rsid w:val="7CB01AA5"/>
    <w:rsid w:val="7CDF3BD2"/>
    <w:rsid w:val="7CFB18E8"/>
    <w:rsid w:val="7DBFC2EB"/>
    <w:rsid w:val="7EFFAD84"/>
    <w:rsid w:val="7F3F7849"/>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bCs/>
    </w:rPr>
  </w:style>
  <w:style w:type="character" w:styleId="8">
    <w:name w:val="page number"/>
    <w:basedOn w:val="6"/>
    <w:qFormat/>
    <w:uiPriority w:val="0"/>
  </w:style>
  <w:style w:type="character" w:styleId="9">
    <w:name w:val="FollowedHyperlink"/>
    <w:basedOn w:val="6"/>
    <w:qFormat/>
    <w:uiPriority w:val="0"/>
    <w:rPr>
      <w:color w:val="800080"/>
      <w:u w:val="none"/>
    </w:rPr>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paragraph" w:customStyle="1" w:styleId="15">
    <w:name w:val="Char"/>
    <w:basedOn w:val="1"/>
    <w:qFormat/>
    <w:uiPriority w:val="0"/>
  </w:style>
  <w:style w:type="paragraph" w:customStyle="1" w:styleId="16">
    <w:name w:val="Char1"/>
    <w:basedOn w:val="1"/>
    <w:qFormat/>
    <w:uiPriority w:val="0"/>
    <w:rPr>
      <w:rFonts w:ascii="宋体" w:hAnsi="宋体" w:cs="Courier New"/>
      <w:sz w:val="32"/>
      <w:szCs w:val="32"/>
    </w:rPr>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4442</Words>
  <Characters>4926</Characters>
  <Lines>36</Lines>
  <Paragraphs>10</Paragraphs>
  <TotalTime>58</TotalTime>
  <ScaleCrop>false</ScaleCrop>
  <LinksUpToDate>false</LinksUpToDate>
  <CharactersWithSpaces>4962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陈长安</cp:lastModifiedBy>
  <cp:lastPrinted>2023-03-20T16:11:00Z</cp:lastPrinted>
  <dcterms:modified xsi:type="dcterms:W3CDTF">2023-04-07T01:21:04Z</dcterms:modified>
  <dc:title>附件1：省级部门预算公开说明样式</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E2F7BA76C23F4A0D91FB4CA3C0FD3830</vt:lpwstr>
  </property>
</Properties>
</file>