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kinsoku/>
        <w:wordWrap/>
        <w:overflowPunct/>
        <w:topLinePunct w:val="0"/>
        <w:autoSpaceDE/>
        <w:autoSpaceDN/>
        <w:bidi w:val="0"/>
        <w:adjustRightInd/>
        <w:snapToGrid/>
        <w:spacing w:line="600" w:lineRule="exact"/>
        <w:ind w:firstLine="2200" w:firstLineChars="500"/>
        <w:jc w:val="both"/>
        <w:textAlignment w:val="auto"/>
        <w:rPr>
          <w:rFonts w:hint="eastAsia" w:ascii="Times New Roman" w:hAnsi="Times New Roman" w:eastAsia="方正小标宋简体" w:cs="Times New Roman"/>
          <w:sz w:val="44"/>
          <w:szCs w:val="44"/>
        </w:rPr>
      </w:pPr>
      <w:bookmarkStart w:id="0" w:name="_GoBack"/>
      <w:bookmarkEnd w:id="0"/>
      <w:r>
        <w:rPr>
          <w:rFonts w:hint="eastAsia" w:ascii="Times New Roman" w:hAnsi="Times New Roman" w:eastAsia="方正小标宋简体" w:cs="Times New Roman"/>
          <w:sz w:val="44"/>
          <w:szCs w:val="44"/>
          <w:lang w:eastAsia="zh-CN"/>
        </w:rPr>
        <w:t>丽水</w:t>
      </w:r>
      <w:r>
        <w:rPr>
          <w:rFonts w:hint="eastAsia" w:ascii="Times New Roman" w:hAnsi="Times New Roman" w:eastAsia="方正小标宋简体" w:cs="Times New Roman"/>
          <w:sz w:val="44"/>
          <w:szCs w:val="44"/>
        </w:rPr>
        <w:t>市林业局关于印发</w:t>
      </w:r>
    </w:p>
    <w:p>
      <w:pPr>
        <w:pStyle w:val="2"/>
        <w:keepNext w:val="0"/>
        <w:keepLines w:val="0"/>
        <w:pageBreakBefore w:val="0"/>
        <w:widowControl/>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宋体" w:cs="Times New Roman"/>
        </w:rPr>
      </w:pPr>
      <w:r>
        <w:rPr>
          <w:rFonts w:hint="eastAsia" w:ascii="Times New Roman" w:hAnsi="Times New Roman" w:eastAsia="方正小标宋简体" w:cs="Times New Roman"/>
          <w:sz w:val="44"/>
          <w:szCs w:val="44"/>
        </w:rPr>
        <w:t>包容审慎监管执法“四张清单”的通知</w:t>
      </w:r>
    </w:p>
    <w:p>
      <w:pPr>
        <w:pStyle w:val="2"/>
        <w:keepNext w:val="0"/>
        <w:keepLines w:val="0"/>
        <w:pageBreakBefore w:val="0"/>
        <w:widowControl/>
        <w:kinsoku/>
        <w:wordWrap/>
        <w:overflowPunct/>
        <w:topLinePunct w:val="0"/>
        <w:autoSpaceDE/>
        <w:autoSpaceDN/>
        <w:bidi w:val="0"/>
        <w:adjustRightInd/>
        <w:snapToGrid/>
        <w:spacing w:line="560" w:lineRule="exact"/>
        <w:ind w:firstLine="0" w:firstLineChars="0"/>
        <w:textAlignment w:val="auto"/>
        <w:rPr>
          <w:rFonts w:hint="eastAsia"/>
        </w:rPr>
      </w:pPr>
    </w:p>
    <w:p>
      <w:pPr>
        <w:pStyle w:val="2"/>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各县（市、区）林业主管部门、局属各处室（单位）：</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为深入贯彻习近平法治思想，进一步创新包容审慎新型监管方式，持续打造法治化营商环境，推进严格规范公正文明执法，加快法治政府建设，根据《浙江省林业局关于印发</w:t>
      </w:r>
      <w:r>
        <w:rPr>
          <w:rFonts w:hint="default" w:ascii="仿宋_GB2312" w:hAnsi="仿宋_GB2312" w:eastAsia="仿宋_GB2312" w:cs="仿宋_GB2312"/>
          <w:kern w:val="2"/>
          <w:sz w:val="32"/>
          <w:szCs w:val="32"/>
          <w:lang w:val="en" w:eastAsia="zh-CN" w:bidi="ar-SA"/>
        </w:rPr>
        <w:t>&lt;</w:t>
      </w:r>
      <w:r>
        <w:rPr>
          <w:rFonts w:hint="eastAsia" w:ascii="仿宋_GB2312" w:hAnsi="仿宋_GB2312" w:eastAsia="仿宋_GB2312" w:cs="仿宋_GB2312"/>
          <w:kern w:val="2"/>
          <w:sz w:val="32"/>
          <w:szCs w:val="32"/>
          <w:lang w:val="en-US" w:eastAsia="zh-CN" w:bidi="ar-SA"/>
        </w:rPr>
        <w:t>浙江省林业行政处罚裁量基准</w:t>
      </w:r>
      <w:r>
        <w:rPr>
          <w:rFonts w:hint="default" w:ascii="仿宋_GB2312" w:hAnsi="仿宋_GB2312" w:eastAsia="仿宋_GB2312" w:cs="仿宋_GB2312"/>
          <w:kern w:val="2"/>
          <w:sz w:val="32"/>
          <w:szCs w:val="32"/>
          <w:lang w:val="en" w:eastAsia="zh-CN" w:bidi="ar-SA"/>
        </w:rPr>
        <w:t>&gt;</w:t>
      </w:r>
      <w:r>
        <w:rPr>
          <w:rFonts w:hint="eastAsia" w:ascii="仿宋_GB2312" w:hAnsi="仿宋_GB2312" w:eastAsia="仿宋_GB2312" w:cs="仿宋_GB2312"/>
          <w:kern w:val="2"/>
          <w:sz w:val="32"/>
          <w:szCs w:val="32"/>
          <w:lang w:val="en-US" w:eastAsia="zh-CN" w:bidi="ar-SA"/>
        </w:rPr>
        <w:t>的通知》（浙林防〔2023〕23号）和《关于印发</w:t>
      </w:r>
      <w:r>
        <w:rPr>
          <w:rFonts w:hint="default" w:ascii="仿宋_GB2312" w:hAnsi="仿宋_GB2312" w:eastAsia="仿宋_GB2312" w:cs="仿宋_GB2312"/>
          <w:kern w:val="2"/>
          <w:sz w:val="32"/>
          <w:szCs w:val="32"/>
          <w:lang w:val="en" w:eastAsia="zh-CN" w:bidi="ar-SA"/>
        </w:rPr>
        <w:t>&lt;</w:t>
      </w:r>
      <w:r>
        <w:rPr>
          <w:rFonts w:hint="eastAsia" w:ascii="仿宋_GB2312" w:hAnsi="仿宋_GB2312" w:eastAsia="仿宋_GB2312" w:cs="仿宋_GB2312"/>
          <w:kern w:val="2"/>
          <w:sz w:val="32"/>
          <w:szCs w:val="32"/>
          <w:lang w:val="en-US" w:eastAsia="zh-CN" w:bidi="ar-SA"/>
        </w:rPr>
        <w:t>关于进一步健全完善行政执法自由裁量权基准制度的通知</w:t>
      </w:r>
      <w:r>
        <w:rPr>
          <w:rFonts w:hint="default" w:ascii="仿宋_GB2312" w:hAnsi="仿宋_GB2312" w:eastAsia="仿宋_GB2312" w:cs="仿宋_GB2312"/>
          <w:kern w:val="2"/>
          <w:sz w:val="32"/>
          <w:szCs w:val="32"/>
          <w:lang w:val="en" w:eastAsia="zh-CN" w:bidi="ar-SA"/>
        </w:rPr>
        <w:t>&gt;&lt;</w:t>
      </w:r>
      <w:r>
        <w:rPr>
          <w:rFonts w:hint="eastAsia" w:ascii="仿宋_GB2312" w:hAnsi="仿宋_GB2312" w:eastAsia="仿宋_GB2312" w:cs="仿宋_GB2312"/>
          <w:kern w:val="2"/>
          <w:sz w:val="32"/>
          <w:szCs w:val="32"/>
          <w:lang w:val="en-US" w:eastAsia="zh-CN" w:bidi="ar-SA"/>
        </w:rPr>
        <w:t>关于推行包容审慎监管行政处罚四张清单制度的通知</w:t>
      </w:r>
      <w:r>
        <w:rPr>
          <w:rFonts w:hint="default" w:ascii="仿宋_GB2312" w:hAnsi="仿宋_GB2312" w:eastAsia="仿宋_GB2312" w:cs="仿宋_GB2312"/>
          <w:kern w:val="2"/>
          <w:sz w:val="32"/>
          <w:szCs w:val="32"/>
          <w:lang w:val="en" w:eastAsia="zh-CN" w:bidi="ar-SA"/>
        </w:rPr>
        <w:t>&gt;</w:t>
      </w:r>
      <w:r>
        <w:rPr>
          <w:rFonts w:hint="eastAsia" w:ascii="仿宋_GB2312" w:hAnsi="仿宋_GB2312" w:eastAsia="仿宋_GB2312" w:cs="仿宋_GB2312"/>
          <w:kern w:val="2"/>
          <w:sz w:val="32"/>
          <w:szCs w:val="32"/>
          <w:lang w:val="en-US" w:eastAsia="zh-CN" w:bidi="ar-SA"/>
        </w:rPr>
        <w:t>的通知》（丽综法办〔2023〕26号）的要求，结合我市林业工作实际，编制《不予处罚事项清单（试行）》《从轻处罚事项清单（试行）》《减轻处罚事项清单（试行）》《免予行政强制事项清单（试行）》，自2023年   月   日起施行,有效期至2030年12月31日，现印发给你们，请遵照执行。</w:t>
      </w:r>
    </w:p>
    <w:p>
      <w:pPr>
        <w:pStyle w:val="2"/>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附件：1．不予处罚事项清单（试行）</w:t>
      </w:r>
    </w:p>
    <w:p>
      <w:pPr>
        <w:pStyle w:val="2"/>
        <w:keepNext w:val="0"/>
        <w:keepLines w:val="0"/>
        <w:pageBreakBefore w:val="0"/>
        <w:widowControl/>
        <w:kinsoku/>
        <w:wordWrap/>
        <w:overflowPunct/>
        <w:topLinePunct w:val="0"/>
        <w:autoSpaceDE/>
        <w:autoSpaceDN/>
        <w:bidi w:val="0"/>
        <w:adjustRightInd/>
        <w:snapToGrid/>
        <w:spacing w:line="560" w:lineRule="exact"/>
        <w:ind w:left="0" w:leftChars="0" w:firstLine="1600" w:firstLineChars="5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2．从轻处罚事项清单（试行）</w:t>
      </w:r>
    </w:p>
    <w:p>
      <w:pPr>
        <w:pStyle w:val="2"/>
        <w:keepNext w:val="0"/>
        <w:keepLines w:val="0"/>
        <w:pageBreakBefore w:val="0"/>
        <w:widowControl/>
        <w:kinsoku/>
        <w:wordWrap/>
        <w:overflowPunct/>
        <w:topLinePunct w:val="0"/>
        <w:autoSpaceDE/>
        <w:autoSpaceDN/>
        <w:bidi w:val="0"/>
        <w:adjustRightInd/>
        <w:snapToGrid/>
        <w:spacing w:line="560" w:lineRule="exact"/>
        <w:ind w:left="0" w:leftChars="0" w:firstLine="1600" w:firstLineChars="5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3．减轻处罚事项清单（试行）</w:t>
      </w:r>
    </w:p>
    <w:p>
      <w:pPr>
        <w:pStyle w:val="2"/>
        <w:keepNext w:val="0"/>
        <w:keepLines w:val="0"/>
        <w:pageBreakBefore w:val="0"/>
        <w:widowControl/>
        <w:kinsoku/>
        <w:wordWrap/>
        <w:overflowPunct/>
        <w:topLinePunct w:val="0"/>
        <w:autoSpaceDE/>
        <w:autoSpaceDN/>
        <w:bidi w:val="0"/>
        <w:adjustRightInd/>
        <w:snapToGrid/>
        <w:spacing w:line="560" w:lineRule="exact"/>
        <w:ind w:left="0" w:leftChars="0" w:firstLine="1600" w:firstLineChars="5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4．免予行政强制事项清单（试行）</w:t>
      </w:r>
    </w:p>
    <w:p>
      <w:pPr>
        <w:pStyle w:val="2"/>
        <w:keepNext w:val="0"/>
        <w:keepLines w:val="0"/>
        <w:pageBreakBefore w:val="0"/>
        <w:widowControl/>
        <w:kinsoku/>
        <w:wordWrap/>
        <w:overflowPunct/>
        <w:topLinePunct w:val="0"/>
        <w:autoSpaceDE/>
        <w:autoSpaceDN/>
        <w:bidi w:val="0"/>
        <w:adjustRightInd/>
        <w:snapToGrid/>
        <w:spacing w:line="560" w:lineRule="exact"/>
        <w:ind w:left="0" w:leftChars="0" w:firstLine="1600" w:firstLineChars="500"/>
        <w:jc w:val="both"/>
        <w:textAlignment w:val="auto"/>
        <w:rPr>
          <w:rFonts w:hint="eastAsia" w:ascii="仿宋_GB2312" w:hAnsi="仿宋_GB2312" w:eastAsia="仿宋_GB2312" w:cs="仿宋_GB2312"/>
          <w:kern w:val="2"/>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right="840" w:rightChars="400"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丽水市林业局</w:t>
      </w:r>
    </w:p>
    <w:p>
      <w:pPr>
        <w:keepNext w:val="0"/>
        <w:keepLines w:val="0"/>
        <w:pageBreakBefore w:val="0"/>
        <w:widowControl w:val="0"/>
        <w:kinsoku/>
        <w:wordWrap/>
        <w:overflowPunct/>
        <w:topLinePunct w:val="0"/>
        <w:autoSpaceDE/>
        <w:autoSpaceDN/>
        <w:bidi w:val="0"/>
        <w:adjustRightInd/>
        <w:snapToGrid/>
        <w:spacing w:line="560" w:lineRule="exact"/>
        <w:ind w:right="630" w:rightChars="300" w:firstLine="640" w:firstLineChars="200"/>
        <w:jc w:val="right"/>
        <w:textAlignment w:val="auto"/>
        <w:rPr>
          <w:rFonts w:hint="eastAsia" w:ascii="仿宋_GB2312" w:hAnsi="仿宋_GB2312" w:eastAsia="仿宋_GB2312" w:cs="仿宋_GB2312"/>
          <w:color w:val="000000"/>
          <w:kern w:val="2"/>
          <w:sz w:val="32"/>
          <w:szCs w:val="32"/>
          <w:lang w:val="en-US" w:eastAsia="zh-CN" w:bidi="ar-SA"/>
        </w:rPr>
      </w:pPr>
      <w:r>
        <w:rPr>
          <w:rFonts w:hint="eastAsia" w:ascii="仿宋_GB2312" w:hAnsi="仿宋_GB2312" w:eastAsia="仿宋_GB2312" w:cs="仿宋_GB2312"/>
          <w:color w:val="000000"/>
          <w:kern w:val="2"/>
          <w:sz w:val="32"/>
          <w:szCs w:val="32"/>
          <w:lang w:val="en-US" w:eastAsia="zh-CN" w:bidi="ar-SA"/>
        </w:rPr>
        <w:t>2023年    月    日</w:t>
      </w: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pStyle w:val="2"/>
        <w:ind w:left="0" w:leftChars="0" w:firstLine="0" w:firstLineChars="0"/>
        <w:rPr>
          <w:rFonts w:hint="eastAsia" w:ascii="仿宋_GB2312" w:hAnsi="仿宋_GB2312" w:eastAsia="仿宋_GB2312" w:cs="仿宋_GB2312"/>
          <w:sz w:val="32"/>
          <w:szCs w:val="32"/>
          <w:lang w:val="en-US" w:eastAsia="zh-CN"/>
        </w:rPr>
      </w:pPr>
    </w:p>
    <w:p>
      <w:pPr>
        <w:pStyle w:val="2"/>
        <w:ind w:left="0" w:leftChars="0" w:firstLine="0" w:firstLineChars="0"/>
        <w:rPr>
          <w:rFonts w:hint="eastAsia" w:ascii="仿宋_GB2312" w:hAnsi="仿宋_GB2312" w:eastAsia="仿宋_GB2312" w:cs="仿宋_GB2312"/>
          <w:sz w:val="32"/>
          <w:szCs w:val="32"/>
          <w:lang w:val="en-US" w:eastAsia="zh-CN"/>
        </w:rPr>
      </w:pPr>
    </w:p>
    <w:p>
      <w:pPr>
        <w:pStyle w:val="2"/>
        <w:ind w:left="0" w:leftChars="0" w:firstLine="0" w:firstLineChars="0"/>
        <w:rPr>
          <w:rFonts w:hint="eastAsia" w:ascii="仿宋_GB2312" w:hAnsi="仿宋_GB2312" w:eastAsia="仿宋_GB2312" w:cs="仿宋_GB2312"/>
          <w:sz w:val="32"/>
          <w:szCs w:val="32"/>
          <w:lang w:val="en-US" w:eastAsia="zh-CN"/>
        </w:rPr>
      </w:pPr>
    </w:p>
    <w:p>
      <w:pPr>
        <w:pStyle w:val="2"/>
        <w:ind w:left="0" w:leftChars="0" w:firstLine="0" w:firstLineChars="0"/>
        <w:rPr>
          <w:rFonts w:hint="eastAsia" w:ascii="仿宋_GB2312" w:hAnsi="仿宋_GB2312" w:eastAsia="仿宋_GB2312" w:cs="仿宋_GB2312"/>
          <w:sz w:val="32"/>
          <w:szCs w:val="32"/>
          <w:lang w:val="en-US" w:eastAsia="zh-CN"/>
        </w:rPr>
      </w:pPr>
    </w:p>
    <w:p>
      <w:pPr>
        <w:pStyle w:val="2"/>
        <w:ind w:left="0" w:leftChars="0" w:firstLine="0" w:firstLineChars="0"/>
        <w:rPr>
          <w:rFonts w:hint="eastAsia" w:ascii="仿宋_GB2312" w:hAnsi="仿宋_GB2312" w:eastAsia="仿宋_GB2312" w:cs="仿宋_GB2312"/>
          <w:sz w:val="32"/>
          <w:szCs w:val="32"/>
          <w:lang w:val="en-US" w:eastAsia="zh-CN"/>
        </w:rPr>
      </w:pPr>
    </w:p>
    <w:p>
      <w:pPr>
        <w:pStyle w:val="2"/>
        <w:ind w:left="0" w:leftChars="0" w:firstLine="0" w:firstLineChars="0"/>
        <w:rPr>
          <w:rFonts w:hint="eastAsia" w:ascii="仿宋_GB2312" w:hAnsi="仿宋_GB2312" w:eastAsia="仿宋_GB2312" w:cs="仿宋_GB2312"/>
          <w:sz w:val="32"/>
          <w:szCs w:val="32"/>
          <w:lang w:val="en-US" w:eastAsia="zh-CN"/>
        </w:rPr>
      </w:pPr>
    </w:p>
    <w:p>
      <w:pPr>
        <w:pStyle w:val="2"/>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（此件主动公开）</w:t>
      </w:r>
    </w:p>
    <w:p>
      <w:pPr>
        <w:pStyle w:val="2"/>
        <w:keepNext w:val="0"/>
        <w:keepLines w:val="0"/>
        <w:pageBreakBefore w:val="0"/>
        <w:widowControl/>
        <w:kinsoku/>
        <w:wordWrap/>
        <w:overflowPunct/>
        <w:topLinePunct w:val="0"/>
        <w:autoSpaceDE/>
        <w:autoSpaceDN/>
        <w:bidi w:val="0"/>
        <w:adjustRightInd/>
        <w:snapToGrid/>
        <w:spacing w:line="600" w:lineRule="exact"/>
        <w:ind w:left="0" w:leftChars="0" w:firstLine="642" w:firstLineChars="200"/>
        <w:jc w:val="left"/>
        <w:textAlignment w:val="auto"/>
        <w:rPr>
          <w:rFonts w:hint="eastAsia" w:ascii="仿宋_GB2312" w:hAnsi="仿宋_GB2312" w:eastAsia="仿宋_GB2312" w:cs="仿宋_GB2312"/>
          <w:b/>
          <w:bCs/>
          <w:kern w:val="2"/>
          <w:sz w:val="32"/>
          <w:szCs w:val="32"/>
          <w:lang w:val="en-US" w:eastAsia="zh-CN" w:bidi="ar-SA"/>
        </w:rPr>
        <w:sectPr>
          <w:footerReference r:id="rId5" w:type="first"/>
          <w:headerReference r:id="rId3" w:type="default"/>
          <w:footerReference r:id="rId4" w:type="default"/>
          <w:pgSz w:w="11906" w:h="16838"/>
          <w:pgMar w:top="1440" w:right="1400" w:bottom="1418" w:left="1400" w:header="851" w:footer="992" w:gutter="0"/>
          <w:pgNumType w:fmt="decimal"/>
          <w:cols w:space="720" w:num="1"/>
          <w:titlePg/>
          <w:docGrid w:type="lines" w:linePitch="312" w:charSpace="0"/>
        </w:sectPr>
      </w:pPr>
    </w:p>
    <w:p>
      <w:pPr>
        <w:keepNext w:val="0"/>
        <w:keepLines w:val="0"/>
        <w:pageBreakBefore w:val="0"/>
        <w:widowControl/>
        <w:kinsoku/>
        <w:wordWrap/>
        <w:overflowPunct/>
        <w:topLinePunct w:val="0"/>
        <w:autoSpaceDE/>
        <w:autoSpaceDN/>
        <w:bidi w:val="0"/>
        <w:adjustRightInd/>
        <w:snapToGrid/>
        <w:spacing w:line="560" w:lineRule="exact"/>
        <w:ind w:firstLine="0"/>
        <w:jc w:val="both"/>
        <w:textAlignment w:val="auto"/>
        <w:outlineLvl w:val="0"/>
        <w:rPr>
          <w:rFonts w:hint="eastAsia" w:ascii="黑体" w:hAnsi="黑体" w:eastAsia="黑体" w:cs="黑体"/>
          <w:color w:val="000000"/>
          <w:sz w:val="32"/>
          <w:szCs w:val="32"/>
          <w:lang w:val="en" w:eastAsia="zh-CN"/>
        </w:rPr>
      </w:pPr>
      <w:r>
        <w:rPr>
          <w:rFonts w:hint="eastAsia" w:ascii="黑体" w:hAnsi="黑体" w:eastAsia="黑体" w:cs="黑体"/>
          <w:color w:val="000000"/>
          <w:sz w:val="32"/>
          <w:szCs w:val="32"/>
          <w:lang w:val="en" w:eastAsia="zh-CN"/>
        </w:rPr>
        <w:t>附件1</w:t>
      </w:r>
    </w:p>
    <w:p>
      <w:pPr>
        <w:keepNext w:val="0"/>
        <w:keepLines w:val="0"/>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不予处罚事项清单（试行）</w:t>
      </w:r>
    </w:p>
    <w:p>
      <w:pPr>
        <w:keepNext w:val="0"/>
        <w:keepLines w:val="0"/>
        <w:pageBreakBefore w:val="0"/>
        <w:widowControl/>
        <w:kinsoku/>
        <w:wordWrap/>
        <w:overflowPunct/>
        <w:topLinePunct w:val="0"/>
        <w:autoSpaceDE/>
        <w:autoSpaceDN/>
        <w:bidi w:val="0"/>
        <w:adjustRightInd/>
        <w:snapToGrid/>
        <w:spacing w:line="440" w:lineRule="exact"/>
        <w:ind w:firstLine="0"/>
        <w:jc w:val="left"/>
        <w:textAlignment w:val="auto"/>
        <w:outlineLvl w:val="1"/>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单位：</w:t>
      </w:r>
      <w:r>
        <w:rPr>
          <w:rFonts w:hint="eastAsia" w:ascii="仿宋_GB2312" w:hAnsi="仿宋_GB2312" w:eastAsia="仿宋_GB2312" w:cs="仿宋_GB2312"/>
          <w:color w:val="000000"/>
          <w:sz w:val="32"/>
          <w:szCs w:val="32"/>
          <w:lang w:eastAsia="zh-CN"/>
        </w:rPr>
        <w:t>丽水市林业局</w:t>
      </w:r>
    </w:p>
    <w:tbl>
      <w:tblPr>
        <w:tblStyle w:val="7"/>
        <w:tblW w:w="14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687"/>
        <w:gridCol w:w="1971"/>
        <w:gridCol w:w="1635"/>
        <w:gridCol w:w="2234"/>
        <w:gridCol w:w="6992"/>
        <w:gridCol w:w="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05" w:hRule="atLeast"/>
        </w:trPr>
        <w:tc>
          <w:tcPr>
            <w:tcW w:w="687"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序号</w:t>
            </w:r>
          </w:p>
        </w:tc>
        <w:tc>
          <w:tcPr>
            <w:tcW w:w="1971"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行政处罚事项</w:t>
            </w:r>
          </w:p>
        </w:tc>
        <w:tc>
          <w:tcPr>
            <w:tcW w:w="1635"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实施机关</w:t>
            </w:r>
          </w:p>
        </w:tc>
        <w:tc>
          <w:tcPr>
            <w:tcW w:w="2234"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不予处罚适用条件</w:t>
            </w:r>
          </w:p>
        </w:tc>
        <w:tc>
          <w:tcPr>
            <w:tcW w:w="6992"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法律依据</w:t>
            </w:r>
          </w:p>
        </w:tc>
        <w:tc>
          <w:tcPr>
            <w:tcW w:w="566"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0" w:hRule="atLeast"/>
        </w:trPr>
        <w:tc>
          <w:tcPr>
            <w:tcW w:w="687" w:type="dxa"/>
            <w:noWrap w:val="0"/>
            <w:vAlign w:val="center"/>
          </w:tcPr>
          <w:p>
            <w:pPr>
              <w:spacing w:line="320" w:lineRule="exact"/>
              <w:jc w:val="center"/>
              <w:rPr>
                <w:rFonts w:hint="eastAsia"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lang w:val="en-US" w:eastAsia="zh-CN"/>
              </w:rPr>
              <w:t>1</w:t>
            </w:r>
          </w:p>
        </w:tc>
        <w:tc>
          <w:tcPr>
            <w:tcW w:w="1971"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对拒绝、阻碍县级以上人民政府林业主管部门依法实施监督检查的行政处罚</w:t>
            </w:r>
          </w:p>
        </w:tc>
        <w:tc>
          <w:tcPr>
            <w:tcW w:w="1635"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lang w:eastAsia="zh-CN"/>
              </w:rPr>
              <w:t>县级以上</w:t>
            </w:r>
            <w:r>
              <w:rPr>
                <w:rFonts w:hint="eastAsia" w:ascii="仿宋_GB2312" w:hAnsi="微软雅黑" w:eastAsia="仿宋_GB2312" w:cs="Times New Roman"/>
                <w:color w:val="000000"/>
                <w:szCs w:val="21"/>
                <w:shd w:val="clear" w:color="auto" w:fill="FFFFFF"/>
              </w:rPr>
              <w:t>林业主管部门</w:t>
            </w:r>
          </w:p>
        </w:tc>
        <w:tc>
          <w:tcPr>
            <w:tcW w:w="2234"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初次实施违法行为，情节轻微，没有危害后果或后果轻微，经教育及时改正的</w:t>
            </w:r>
          </w:p>
        </w:tc>
        <w:tc>
          <w:tcPr>
            <w:tcW w:w="6992"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 xml:space="preserve">1.《中华人民共和国森林法》第八十条：违反本法规定，拒绝、阻碍县级以上人民政府林业主管部门依法实施监督检查的，可以处五万元以下的罚款，情节严重的，可以责令停产停业整顿。 </w:t>
            </w:r>
          </w:p>
          <w:p>
            <w:pPr>
              <w:spacing w:line="320" w:lineRule="exact"/>
              <w:rPr>
                <w:rFonts w:hint="eastAsia" w:ascii="仿宋_GB2312" w:hAnsi="微软雅黑" w:eastAsia="仿宋_GB2312" w:cs="Times New Roman"/>
                <w:color w:val="000000"/>
                <w:szCs w:val="21"/>
                <w:shd w:val="clear" w:color="auto" w:fill="FFFFFF"/>
                <w:lang w:eastAsia="zh-CN"/>
              </w:rPr>
            </w:pPr>
            <w:r>
              <w:rPr>
                <w:rFonts w:hint="eastAsia" w:ascii="仿宋_GB2312" w:hAnsi="微软雅黑" w:eastAsia="仿宋_GB2312" w:cs="Times New Roman"/>
                <w:color w:val="000000"/>
                <w:szCs w:val="21"/>
                <w:shd w:val="clear" w:color="auto" w:fill="FFFFFF"/>
              </w:rPr>
              <w:t>2.《中华人民共和国行政处罚法》第三十三条：违法行为轻微并及时改正，没有造成危害后果的，不予行政处罚。初次违法且危害后果轻微并及时改正的，可以不予行政处罚。</w:t>
            </w:r>
          </w:p>
        </w:tc>
        <w:tc>
          <w:tcPr>
            <w:tcW w:w="566"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0" w:hRule="atLeast"/>
        </w:trPr>
        <w:tc>
          <w:tcPr>
            <w:tcW w:w="687" w:type="dxa"/>
            <w:noWrap w:val="0"/>
            <w:vAlign w:val="center"/>
          </w:tcPr>
          <w:p>
            <w:pPr>
              <w:spacing w:line="320" w:lineRule="exact"/>
              <w:jc w:val="center"/>
              <w:rPr>
                <w:rFonts w:hint="default"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lang w:val="en-US" w:eastAsia="zh-CN"/>
              </w:rPr>
              <w:t>2</w:t>
            </w:r>
          </w:p>
        </w:tc>
        <w:tc>
          <w:tcPr>
            <w:tcW w:w="1971"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对擅自移动或破坏自然保护区界标的行政处罚</w:t>
            </w:r>
          </w:p>
        </w:tc>
        <w:tc>
          <w:tcPr>
            <w:tcW w:w="1635" w:type="dxa"/>
            <w:noWrap w:val="0"/>
            <w:vAlign w:val="center"/>
          </w:tcPr>
          <w:p>
            <w:pPr>
              <w:spacing w:line="320" w:lineRule="exact"/>
              <w:rPr>
                <w:rFonts w:hint="eastAsia" w:ascii="仿宋_GB2312" w:hAnsi="微软雅黑" w:eastAsia="仿宋_GB2312" w:cs="Times New Roman"/>
                <w:color w:val="000000"/>
                <w:szCs w:val="21"/>
                <w:shd w:val="clear" w:color="auto" w:fill="FFFFFF"/>
                <w:lang w:eastAsia="zh-CN"/>
              </w:rPr>
            </w:pPr>
            <w:r>
              <w:rPr>
                <w:rFonts w:hint="eastAsia" w:ascii="仿宋_GB2312" w:hAnsi="微软雅黑" w:eastAsia="仿宋_GB2312" w:cs="Times New Roman"/>
                <w:color w:val="000000"/>
                <w:szCs w:val="21"/>
                <w:shd w:val="clear" w:color="auto" w:fill="FFFFFF"/>
                <w:lang w:eastAsia="zh-CN"/>
              </w:rPr>
              <w:t>县级以上</w:t>
            </w:r>
            <w:r>
              <w:rPr>
                <w:rFonts w:hint="eastAsia" w:ascii="仿宋_GB2312" w:hAnsi="微软雅黑" w:eastAsia="仿宋_GB2312" w:cs="Times New Roman"/>
                <w:color w:val="000000"/>
                <w:szCs w:val="21"/>
                <w:shd w:val="clear" w:color="auto" w:fill="FFFFFF"/>
              </w:rPr>
              <w:t>林业主管部门</w:t>
            </w:r>
          </w:p>
        </w:tc>
        <w:tc>
          <w:tcPr>
            <w:tcW w:w="2234"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初次实施违法行为，主动自行恢复界标原状，没有造成危害后果</w:t>
            </w:r>
          </w:p>
        </w:tc>
        <w:tc>
          <w:tcPr>
            <w:tcW w:w="6992"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1.《中华人民共和国自然保护区条例》第十五条：第二款 任何单位和个人，不得擅自移动自然保护区的界标。第三十四条：第一款 违反本条例规定，有下列行为之一的单位和个人，由自然保护区管理机构责令其改正，并可以根据不同情节处以100元以上5000元以下的罚款:（一）擅自移动或者破坏自然保护区界标的。</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2.《中华人民共和国行政处罚法》第三十三条：违法行为轻微并及时改正，没有造成危害后果的，不予行政处罚。初次违法且危害后果轻微并及时改正的，可以不予行政处罚。</w:t>
            </w:r>
          </w:p>
        </w:tc>
        <w:tc>
          <w:tcPr>
            <w:tcW w:w="566"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0" w:hRule="atLeast"/>
        </w:trPr>
        <w:tc>
          <w:tcPr>
            <w:tcW w:w="687" w:type="dxa"/>
            <w:noWrap w:val="0"/>
            <w:vAlign w:val="center"/>
          </w:tcPr>
          <w:p>
            <w:pPr>
              <w:spacing w:line="320" w:lineRule="exact"/>
              <w:jc w:val="center"/>
              <w:rPr>
                <w:rFonts w:hint="default"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lang w:val="en-US" w:eastAsia="zh-CN"/>
              </w:rPr>
              <w:t>3</w:t>
            </w:r>
          </w:p>
        </w:tc>
        <w:tc>
          <w:tcPr>
            <w:tcW w:w="1971"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对未经批准进入自然保护区或在自然保护区内不服从管理机构管理的行政处罚</w:t>
            </w:r>
          </w:p>
        </w:tc>
        <w:tc>
          <w:tcPr>
            <w:tcW w:w="1635" w:type="dxa"/>
            <w:noWrap w:val="0"/>
            <w:vAlign w:val="center"/>
          </w:tcPr>
          <w:p>
            <w:pPr>
              <w:spacing w:line="320" w:lineRule="exact"/>
              <w:rPr>
                <w:rFonts w:hint="eastAsia" w:ascii="仿宋_GB2312" w:hAnsi="微软雅黑" w:eastAsia="仿宋_GB2312" w:cs="Times New Roman"/>
                <w:color w:val="000000"/>
                <w:szCs w:val="21"/>
                <w:shd w:val="clear" w:color="auto" w:fill="FFFFFF"/>
                <w:lang w:eastAsia="zh-CN"/>
              </w:rPr>
            </w:pPr>
            <w:r>
              <w:rPr>
                <w:rFonts w:hint="eastAsia" w:ascii="仿宋_GB2312" w:hAnsi="微软雅黑" w:eastAsia="仿宋_GB2312" w:cs="Times New Roman"/>
                <w:color w:val="000000"/>
                <w:szCs w:val="21"/>
                <w:shd w:val="clear" w:color="auto" w:fill="FFFFFF"/>
                <w:lang w:eastAsia="zh-CN"/>
              </w:rPr>
              <w:t>县级以上</w:t>
            </w:r>
            <w:r>
              <w:rPr>
                <w:rFonts w:hint="eastAsia" w:ascii="仿宋_GB2312" w:hAnsi="微软雅黑" w:eastAsia="仿宋_GB2312" w:cs="Times New Roman"/>
                <w:color w:val="000000"/>
                <w:szCs w:val="21"/>
                <w:shd w:val="clear" w:color="auto" w:fill="FFFFFF"/>
              </w:rPr>
              <w:t>林业主管部门</w:t>
            </w:r>
          </w:p>
        </w:tc>
        <w:tc>
          <w:tcPr>
            <w:tcW w:w="2234"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初次未经批准进入自然保护区，经劝阻后及时撤离，对自然保护区未造成影响，未产生社会危害后果</w:t>
            </w:r>
          </w:p>
        </w:tc>
        <w:tc>
          <w:tcPr>
            <w:tcW w:w="6992"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1.《中华人民共和国自然保护区条例》第二十五条：在自然保护区内的单位、居民和经批准进入自然保护区的人员，必须遵守自然保护区的各项管理制度，接受自然保护区管理机构的管理。第三十四条：第一款 违反本条例规定，有下列行为之一的单位和个人，由自然保护区管理机构责令其改正，并可以根据不同情节处以100元以上5000元以下的罚款:（二） 未经批准进入自然保护区或者在自然保护区内不服从管理机构管理的。</w:t>
            </w:r>
          </w:p>
          <w:p>
            <w:pPr>
              <w:spacing w:line="320" w:lineRule="exact"/>
              <w:rPr>
                <w:rFonts w:hint="eastAsia"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rPr>
              <w:t>2.《中华人民共和国行政处罚法》第三十三条：违法行为轻微并及时改正，没有造成危害后果的，不予行政处罚。初次违法且危害后果轻微并及时改正的，可以不予行政处罚。</w:t>
            </w:r>
          </w:p>
        </w:tc>
        <w:tc>
          <w:tcPr>
            <w:tcW w:w="566"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0" w:hRule="atLeast"/>
        </w:trPr>
        <w:tc>
          <w:tcPr>
            <w:tcW w:w="687" w:type="dxa"/>
            <w:noWrap w:val="0"/>
            <w:vAlign w:val="center"/>
          </w:tcPr>
          <w:p>
            <w:pPr>
              <w:spacing w:line="320" w:lineRule="exact"/>
              <w:jc w:val="center"/>
              <w:rPr>
                <w:rFonts w:hint="default"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lang w:val="en-US" w:eastAsia="zh-CN"/>
              </w:rPr>
              <w:t>4</w:t>
            </w:r>
          </w:p>
        </w:tc>
        <w:tc>
          <w:tcPr>
            <w:tcW w:w="1971"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对在风景胜区内景物、设施上刻划、涂污或者乱扔垃圾行为的行政处罚</w:t>
            </w:r>
          </w:p>
        </w:tc>
        <w:tc>
          <w:tcPr>
            <w:tcW w:w="1635" w:type="dxa"/>
            <w:noWrap w:val="0"/>
            <w:vAlign w:val="center"/>
          </w:tcPr>
          <w:p>
            <w:pPr>
              <w:spacing w:line="320" w:lineRule="exact"/>
              <w:rPr>
                <w:rFonts w:hint="eastAsia" w:ascii="仿宋_GB2312" w:hAnsi="微软雅黑" w:eastAsia="仿宋_GB2312" w:cs="Times New Roman"/>
                <w:color w:val="000000"/>
                <w:szCs w:val="21"/>
                <w:shd w:val="clear" w:color="auto" w:fill="FFFFFF"/>
                <w:lang w:eastAsia="zh-CN"/>
              </w:rPr>
            </w:pPr>
            <w:r>
              <w:rPr>
                <w:rFonts w:hint="eastAsia" w:ascii="仿宋_GB2312" w:hAnsi="微软雅黑" w:eastAsia="仿宋_GB2312" w:cs="Times New Roman"/>
                <w:color w:val="000000"/>
                <w:szCs w:val="21"/>
                <w:shd w:val="clear" w:color="auto" w:fill="FFFFFF"/>
                <w:lang w:eastAsia="zh-CN"/>
              </w:rPr>
              <w:t>县级以上</w:t>
            </w:r>
            <w:r>
              <w:rPr>
                <w:rFonts w:hint="eastAsia" w:ascii="仿宋_GB2312" w:hAnsi="微软雅黑" w:eastAsia="仿宋_GB2312" w:cs="Times New Roman"/>
                <w:color w:val="000000"/>
                <w:szCs w:val="21"/>
                <w:shd w:val="clear" w:color="auto" w:fill="FFFFFF"/>
              </w:rPr>
              <w:t>林业主管部门</w:t>
            </w:r>
          </w:p>
        </w:tc>
        <w:tc>
          <w:tcPr>
            <w:tcW w:w="2234"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初次在景物和设施上刻划、涂污或者在风景名胜区内乱扔垃圾，破坏程度轻微，主动及时恢复原状或者采取其他有效补救措施，未造成社会危害后果</w:t>
            </w:r>
          </w:p>
        </w:tc>
        <w:tc>
          <w:tcPr>
            <w:tcW w:w="6992"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 xml:space="preserve">1.《风景名胜区条例》第四十四条：违反本条例的规定，在景物、设施上刻划、涂污或者在风景名胜区内乱扔垃圾的，由风景名胜区管理机构责令恢复原状或者采取其他补救措施，处50元的罚款；刻划、涂污或者以其他方式故意损坏国家保护的文物、名胜古迹的，按照治安管理处罚法的有关规定予以处罚；构成犯罪的，依法追究刑事责任。 </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2.《中华人民共和国行政处罚法》第三十三条：违法行为轻微并及时改正，没有造成危害后果的，不予行政处罚。初次违法且危害后果轻微并及时改正的，可以不予行政处罚。</w:t>
            </w:r>
          </w:p>
        </w:tc>
        <w:tc>
          <w:tcPr>
            <w:tcW w:w="566"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0" w:hRule="atLeast"/>
        </w:trPr>
        <w:tc>
          <w:tcPr>
            <w:tcW w:w="687" w:type="dxa"/>
            <w:noWrap w:val="0"/>
            <w:vAlign w:val="center"/>
          </w:tcPr>
          <w:p>
            <w:pPr>
              <w:spacing w:line="320" w:lineRule="exact"/>
              <w:jc w:val="center"/>
              <w:rPr>
                <w:rFonts w:hint="default"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lang w:val="en-US" w:eastAsia="zh-CN"/>
              </w:rPr>
              <w:t>5</w:t>
            </w:r>
          </w:p>
        </w:tc>
        <w:tc>
          <w:tcPr>
            <w:tcW w:w="1971"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对违法开展林木转基因活动的行政处罚</w:t>
            </w:r>
          </w:p>
        </w:tc>
        <w:tc>
          <w:tcPr>
            <w:tcW w:w="1635" w:type="dxa"/>
            <w:noWrap w:val="0"/>
            <w:vAlign w:val="center"/>
          </w:tcPr>
          <w:p>
            <w:pPr>
              <w:spacing w:line="320" w:lineRule="exact"/>
              <w:rPr>
                <w:rFonts w:hint="eastAsia" w:ascii="仿宋_GB2312" w:hAnsi="微软雅黑" w:eastAsia="仿宋_GB2312" w:cs="Times New Roman"/>
                <w:color w:val="000000"/>
                <w:szCs w:val="21"/>
                <w:shd w:val="clear" w:color="auto" w:fill="FFFFFF"/>
                <w:lang w:eastAsia="zh-CN"/>
              </w:rPr>
            </w:pPr>
            <w:r>
              <w:rPr>
                <w:rFonts w:hint="eastAsia" w:ascii="仿宋_GB2312" w:hAnsi="微软雅黑" w:eastAsia="仿宋_GB2312" w:cs="Times New Roman"/>
                <w:color w:val="000000"/>
                <w:szCs w:val="21"/>
                <w:shd w:val="clear" w:color="auto" w:fill="FFFFFF"/>
                <w:lang w:eastAsia="zh-CN"/>
              </w:rPr>
              <w:t>县级以上</w:t>
            </w:r>
            <w:r>
              <w:rPr>
                <w:rFonts w:hint="eastAsia" w:ascii="仿宋_GB2312" w:hAnsi="微软雅黑" w:eastAsia="仿宋_GB2312" w:cs="Times New Roman"/>
                <w:color w:val="000000"/>
                <w:szCs w:val="21"/>
                <w:shd w:val="clear" w:color="auto" w:fill="FFFFFF"/>
              </w:rPr>
              <w:t>林业主管部门</w:t>
            </w:r>
          </w:p>
        </w:tc>
        <w:tc>
          <w:tcPr>
            <w:tcW w:w="2234"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主动及时停止林木转基因工程活动，没有违法所得，属于非经营活动，并整改到位，未产生社会危害后果</w:t>
            </w:r>
          </w:p>
        </w:tc>
        <w:tc>
          <w:tcPr>
            <w:tcW w:w="6992"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1.《开展林木转基因工程活动审批管理办法》第二十七条：违反本办法规定，开展林木转基因工程活动的，县级以上人民政府林业主管部门应当责令整改、给予警告，有违法所得的，可以并处违法所得1倍以上3倍以下且不超过3万元的罚款；没有违法所得的，属于非经营活动的，可以并处1千元以下罚款，属于经营活动的，可以并处1万元以下罚款。</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2.《中华人民共和国行政处罚法》第三十三条：违法行为轻微并及时改正，没有造成危害后果的，不予行政处罚。初次违法且危害后果轻微并及时改正的，可以不予行政处罚。</w:t>
            </w:r>
          </w:p>
        </w:tc>
        <w:tc>
          <w:tcPr>
            <w:tcW w:w="566"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0" w:hRule="atLeast"/>
        </w:trPr>
        <w:tc>
          <w:tcPr>
            <w:tcW w:w="687" w:type="dxa"/>
            <w:noWrap w:val="0"/>
            <w:vAlign w:val="center"/>
          </w:tcPr>
          <w:p>
            <w:pPr>
              <w:spacing w:line="320" w:lineRule="exact"/>
              <w:jc w:val="center"/>
              <w:rPr>
                <w:rFonts w:hint="default"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lang w:val="en-US" w:eastAsia="zh-CN"/>
              </w:rPr>
              <w:t>6</w:t>
            </w:r>
          </w:p>
        </w:tc>
        <w:tc>
          <w:tcPr>
            <w:tcW w:w="1971"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对未按规定建立、保存林草种子生产经营档案的行政处罚</w:t>
            </w:r>
          </w:p>
        </w:tc>
        <w:tc>
          <w:tcPr>
            <w:tcW w:w="1635" w:type="dxa"/>
            <w:noWrap w:val="0"/>
            <w:vAlign w:val="center"/>
          </w:tcPr>
          <w:p>
            <w:pPr>
              <w:spacing w:line="320" w:lineRule="exact"/>
              <w:rPr>
                <w:rFonts w:hint="eastAsia" w:ascii="仿宋_GB2312" w:hAnsi="微软雅黑" w:eastAsia="仿宋_GB2312" w:cs="Times New Roman"/>
                <w:color w:val="000000"/>
                <w:szCs w:val="21"/>
                <w:shd w:val="clear" w:color="auto" w:fill="FFFFFF"/>
                <w:lang w:eastAsia="zh-CN"/>
              </w:rPr>
            </w:pPr>
            <w:r>
              <w:rPr>
                <w:rFonts w:hint="eastAsia" w:ascii="仿宋_GB2312" w:hAnsi="微软雅黑" w:eastAsia="仿宋_GB2312" w:cs="Times New Roman"/>
                <w:color w:val="000000"/>
                <w:szCs w:val="21"/>
                <w:shd w:val="clear" w:color="auto" w:fill="FFFFFF"/>
                <w:lang w:eastAsia="zh-CN"/>
              </w:rPr>
              <w:t>县级以上</w:t>
            </w:r>
            <w:r>
              <w:rPr>
                <w:rFonts w:hint="eastAsia" w:ascii="仿宋_GB2312" w:hAnsi="微软雅黑" w:eastAsia="仿宋_GB2312" w:cs="Times New Roman"/>
                <w:color w:val="000000"/>
                <w:szCs w:val="21"/>
                <w:shd w:val="clear" w:color="auto" w:fill="FFFFFF"/>
              </w:rPr>
              <w:t>林业主管部门</w:t>
            </w:r>
          </w:p>
        </w:tc>
        <w:tc>
          <w:tcPr>
            <w:tcW w:w="2234"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建立了林草种子生产、经营档案但不符合规定、内容不完整，主动及时进行了改正，未造成社会危害后果</w:t>
            </w:r>
          </w:p>
        </w:tc>
        <w:tc>
          <w:tcPr>
            <w:tcW w:w="6992"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1.《中华人民共和国种子法》第七十九条第（四）项：违反本法第三十六条、第三十八条、第三十九条、第四十条规定，有下列行为之一的，由县级以上人民政府农业、林业主管部门责令改正，处二千元以上二万元以下罚款：（四）未按规定建立、保存种子生产经营档案的。</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2.《中华人民共和国行政处罚法》第三十三条：违法行为轻微并及时改正，没有造成危害后果的，不予行政处罚。初次违法且危害后果轻微并及时改正的，可以不予行政处罚。</w:t>
            </w:r>
          </w:p>
        </w:tc>
        <w:tc>
          <w:tcPr>
            <w:tcW w:w="566"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0" w:hRule="atLeast"/>
        </w:trPr>
        <w:tc>
          <w:tcPr>
            <w:tcW w:w="687" w:type="dxa"/>
            <w:noWrap w:val="0"/>
            <w:vAlign w:val="center"/>
          </w:tcPr>
          <w:p>
            <w:pPr>
              <w:spacing w:line="320" w:lineRule="exact"/>
              <w:jc w:val="center"/>
              <w:rPr>
                <w:rFonts w:hint="default"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lang w:val="en-US" w:eastAsia="zh-CN"/>
              </w:rPr>
              <w:t>7</w:t>
            </w:r>
          </w:p>
        </w:tc>
        <w:tc>
          <w:tcPr>
            <w:tcW w:w="1971"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对未完成造林任务的行政处罚</w:t>
            </w:r>
          </w:p>
        </w:tc>
        <w:tc>
          <w:tcPr>
            <w:tcW w:w="1635" w:type="dxa"/>
            <w:noWrap w:val="0"/>
            <w:vAlign w:val="center"/>
          </w:tcPr>
          <w:p>
            <w:pPr>
              <w:spacing w:line="320" w:lineRule="exact"/>
              <w:rPr>
                <w:rFonts w:hint="eastAsia" w:ascii="仿宋_GB2312" w:hAnsi="微软雅黑" w:eastAsia="仿宋_GB2312" w:cs="Times New Roman"/>
                <w:color w:val="000000"/>
                <w:szCs w:val="21"/>
                <w:shd w:val="clear" w:color="auto" w:fill="FFFFFF"/>
                <w:lang w:eastAsia="zh-CN"/>
              </w:rPr>
            </w:pPr>
            <w:r>
              <w:rPr>
                <w:rFonts w:hint="eastAsia" w:ascii="仿宋_GB2312" w:hAnsi="微软雅黑" w:eastAsia="仿宋_GB2312" w:cs="Times New Roman"/>
                <w:color w:val="000000"/>
                <w:szCs w:val="21"/>
                <w:shd w:val="clear" w:color="auto" w:fill="FFFFFF"/>
                <w:lang w:eastAsia="zh-CN"/>
              </w:rPr>
              <w:t>县级以上</w:t>
            </w:r>
            <w:r>
              <w:rPr>
                <w:rFonts w:hint="eastAsia" w:ascii="仿宋_GB2312" w:hAnsi="微软雅黑" w:eastAsia="仿宋_GB2312" w:cs="Times New Roman"/>
                <w:color w:val="000000"/>
                <w:szCs w:val="21"/>
                <w:shd w:val="clear" w:color="auto" w:fill="FFFFFF"/>
              </w:rPr>
              <w:t>林业主管部门</w:t>
            </w:r>
          </w:p>
        </w:tc>
        <w:tc>
          <w:tcPr>
            <w:tcW w:w="2234"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初次实施此类违法行为，因特殊原因，情节轻微，没有严重后果，经教育后及时改正的</w:t>
            </w:r>
          </w:p>
        </w:tc>
        <w:tc>
          <w:tcPr>
            <w:tcW w:w="6992"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1.《中华人民共和国森林法实施条例》第四十二条：有下列情形之一的，由县级以上人民政府林业主管部门责令限期完成造林任务；逾期未完成的，可以处应完成而未完成造林任务所需费用2倍以下的罚款；对直接负责的主管人员和其他直接责任人员，依法给予行政处分：</w:t>
            </w:r>
            <w:r>
              <w:rPr>
                <w:rFonts w:hint="eastAsia" w:ascii="仿宋_GB2312" w:hAnsi="微软雅黑" w:eastAsia="仿宋_GB2312" w:cs="Times New Roman"/>
                <w:color w:val="000000"/>
                <w:szCs w:val="21"/>
                <w:shd w:val="clear" w:color="auto" w:fill="FFFFFF"/>
              </w:rPr>
              <w:br w:type="textWrapping"/>
            </w:r>
            <w:r>
              <w:rPr>
                <w:rFonts w:hint="eastAsia" w:ascii="仿宋_GB2312" w:hAnsi="微软雅黑" w:eastAsia="仿宋_GB2312" w:cs="Times New Roman"/>
                <w:color w:val="000000"/>
                <w:szCs w:val="21"/>
                <w:shd w:val="clear" w:color="auto" w:fill="FFFFFF"/>
              </w:rPr>
              <w:t>（二）当年更新造林面积未达到应更新造林面积50%的；</w:t>
            </w:r>
            <w:r>
              <w:rPr>
                <w:rFonts w:hint="eastAsia" w:ascii="仿宋_GB2312" w:hAnsi="微软雅黑" w:eastAsia="仿宋_GB2312" w:cs="Times New Roman"/>
                <w:color w:val="000000"/>
                <w:szCs w:val="21"/>
                <w:shd w:val="clear" w:color="auto" w:fill="FFFFFF"/>
              </w:rPr>
              <w:br w:type="textWrapping"/>
            </w:r>
            <w:r>
              <w:rPr>
                <w:rFonts w:hint="eastAsia" w:ascii="仿宋_GB2312" w:hAnsi="微软雅黑" w:eastAsia="仿宋_GB2312" w:cs="Times New Roman"/>
                <w:color w:val="000000"/>
                <w:szCs w:val="21"/>
                <w:shd w:val="clear" w:color="auto" w:fill="FFFFFF"/>
              </w:rPr>
              <w:t>（四）植树造林责任单位未按照所在地县级人民政府的要求按时完成造林任务的。</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2.《中华人民共和国行政处罚法》第三十三条：违法行为轻微并及时改正，没有造成危害后果的，不予行政处罚。初次违法且危害后果轻微并及时改正的，可以不予行政处罚。</w:t>
            </w:r>
          </w:p>
        </w:tc>
        <w:tc>
          <w:tcPr>
            <w:tcW w:w="566"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0" w:hRule="atLeast"/>
        </w:trPr>
        <w:tc>
          <w:tcPr>
            <w:tcW w:w="687" w:type="dxa"/>
            <w:noWrap w:val="0"/>
            <w:vAlign w:val="center"/>
          </w:tcPr>
          <w:p>
            <w:pPr>
              <w:spacing w:line="320" w:lineRule="exact"/>
              <w:jc w:val="center"/>
              <w:rPr>
                <w:rFonts w:hint="default"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lang w:val="en-US" w:eastAsia="zh-CN"/>
              </w:rPr>
              <w:t>8</w:t>
            </w:r>
          </w:p>
        </w:tc>
        <w:tc>
          <w:tcPr>
            <w:tcW w:w="1971"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对调运松科植物及其制品未向调入地防疫机构备案的行政处罚</w:t>
            </w:r>
          </w:p>
        </w:tc>
        <w:tc>
          <w:tcPr>
            <w:tcW w:w="1635" w:type="dxa"/>
            <w:noWrap w:val="0"/>
            <w:vAlign w:val="center"/>
          </w:tcPr>
          <w:p>
            <w:pPr>
              <w:spacing w:line="320" w:lineRule="exact"/>
              <w:rPr>
                <w:rFonts w:hint="eastAsia" w:ascii="仿宋_GB2312" w:hAnsi="微软雅黑" w:eastAsia="仿宋_GB2312" w:cs="Times New Roman"/>
                <w:color w:val="000000"/>
                <w:szCs w:val="21"/>
                <w:shd w:val="clear" w:color="auto" w:fill="FFFFFF"/>
                <w:lang w:eastAsia="zh-CN"/>
              </w:rPr>
            </w:pPr>
            <w:r>
              <w:rPr>
                <w:rFonts w:hint="eastAsia" w:ascii="仿宋_GB2312" w:hAnsi="微软雅黑" w:eastAsia="仿宋_GB2312" w:cs="Times New Roman"/>
                <w:color w:val="000000"/>
                <w:szCs w:val="21"/>
                <w:shd w:val="clear" w:color="auto" w:fill="FFFFFF"/>
                <w:lang w:eastAsia="zh-CN"/>
              </w:rPr>
              <w:t>县级以上</w:t>
            </w:r>
            <w:r>
              <w:rPr>
                <w:rFonts w:hint="eastAsia" w:ascii="仿宋_GB2312" w:hAnsi="微软雅黑" w:eastAsia="仿宋_GB2312" w:cs="Times New Roman"/>
                <w:color w:val="000000"/>
                <w:szCs w:val="21"/>
                <w:shd w:val="clear" w:color="auto" w:fill="FFFFFF"/>
              </w:rPr>
              <w:t>林业主管部门</w:t>
            </w:r>
          </w:p>
        </w:tc>
        <w:tc>
          <w:tcPr>
            <w:tcW w:w="2234"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初次实施违法行为，情节轻微，没有危害后果或后果轻微，经教育及时改正的</w:t>
            </w:r>
          </w:p>
        </w:tc>
        <w:tc>
          <w:tcPr>
            <w:tcW w:w="6992"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1.《浙江省松材线虫病防治条例》第三十一条：违反本条例第十一条第三款规定，未向调入地县级以上防治检疫机构备案的，由防治检疫检疫机构责令限期改正；逾期不改正的，处以五百元以上二千元以下的罚款。</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2.《中华人民共和国行政处罚法》第三十三条：违法行为轻微并及时改正，没有造成危害后果的，不予行政处罚。初次违法且危害后果轻微并及时改正的，可以不予行政处罚。</w:t>
            </w:r>
          </w:p>
        </w:tc>
        <w:tc>
          <w:tcPr>
            <w:tcW w:w="566"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0" w:hRule="atLeast"/>
        </w:trPr>
        <w:tc>
          <w:tcPr>
            <w:tcW w:w="687" w:type="dxa"/>
            <w:vMerge w:val="restart"/>
            <w:noWrap w:val="0"/>
            <w:vAlign w:val="center"/>
          </w:tcPr>
          <w:p>
            <w:pPr>
              <w:spacing w:line="320" w:lineRule="exact"/>
              <w:jc w:val="center"/>
              <w:rPr>
                <w:rFonts w:hint="default"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lang w:val="en-US" w:eastAsia="zh-CN"/>
              </w:rPr>
              <w:t>9</w:t>
            </w:r>
          </w:p>
        </w:tc>
        <w:tc>
          <w:tcPr>
            <w:tcW w:w="1971" w:type="dxa"/>
            <w:vMerge w:val="restart"/>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对违反林业监管领域法律、法规、规章的处罚</w:t>
            </w:r>
          </w:p>
        </w:tc>
        <w:tc>
          <w:tcPr>
            <w:tcW w:w="1635" w:type="dxa"/>
            <w:vMerge w:val="restart"/>
            <w:noWrap w:val="0"/>
            <w:vAlign w:val="center"/>
          </w:tcPr>
          <w:p>
            <w:pPr>
              <w:spacing w:line="320" w:lineRule="exact"/>
              <w:rPr>
                <w:rFonts w:hint="eastAsia" w:ascii="仿宋_GB2312" w:hAnsi="微软雅黑" w:eastAsia="仿宋_GB2312" w:cs="Times New Roman"/>
                <w:color w:val="000000"/>
                <w:szCs w:val="21"/>
                <w:shd w:val="clear" w:color="auto" w:fill="FFFFFF"/>
                <w:lang w:eastAsia="zh-CN"/>
              </w:rPr>
            </w:pPr>
            <w:r>
              <w:rPr>
                <w:rFonts w:hint="eastAsia" w:ascii="仿宋_GB2312" w:hAnsi="微软雅黑" w:eastAsia="仿宋_GB2312" w:cs="Times New Roman"/>
                <w:color w:val="000000"/>
                <w:szCs w:val="21"/>
                <w:shd w:val="clear" w:color="auto" w:fill="FFFFFF"/>
                <w:lang w:eastAsia="zh-CN"/>
              </w:rPr>
              <w:t>县级以上</w:t>
            </w:r>
            <w:r>
              <w:rPr>
                <w:rFonts w:hint="eastAsia" w:ascii="仿宋_GB2312" w:hAnsi="微软雅黑" w:eastAsia="仿宋_GB2312" w:cs="Times New Roman"/>
                <w:color w:val="000000"/>
                <w:szCs w:val="21"/>
                <w:shd w:val="clear" w:color="auto" w:fill="FFFFFF"/>
              </w:rPr>
              <w:t>林业主管部门</w:t>
            </w:r>
          </w:p>
        </w:tc>
        <w:tc>
          <w:tcPr>
            <w:tcW w:w="2234"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rPr>
              <w:t>违法行为轻微并及时纠正，没有造成危害后果的</w:t>
            </w:r>
          </w:p>
        </w:tc>
        <w:tc>
          <w:tcPr>
            <w:tcW w:w="6992"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rPr>
              <w:t>《中华人民共和国行政处罚法》第三十三条第一款</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违法行为轻微并及时纠正，没有造成危害后果的，不予行政处罚.</w:t>
            </w:r>
          </w:p>
        </w:tc>
        <w:tc>
          <w:tcPr>
            <w:tcW w:w="566"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0" w:hRule="atLeast"/>
        </w:trPr>
        <w:tc>
          <w:tcPr>
            <w:tcW w:w="687" w:type="dxa"/>
            <w:vMerge w:val="continue"/>
            <w:noWrap w:val="0"/>
            <w:vAlign w:val="center"/>
          </w:tcPr>
          <w:p>
            <w:pPr>
              <w:spacing w:line="320" w:lineRule="exact"/>
              <w:rPr>
                <w:rFonts w:hint="default" w:ascii="仿宋_GB2312" w:hAnsi="微软雅黑" w:eastAsia="仿宋_GB2312" w:cs="Times New Roman"/>
                <w:color w:val="000000"/>
                <w:szCs w:val="21"/>
                <w:shd w:val="clear" w:color="auto" w:fill="FFFFFF"/>
                <w:lang w:val="en-US" w:eastAsia="zh-CN"/>
              </w:rPr>
            </w:pPr>
          </w:p>
        </w:tc>
        <w:tc>
          <w:tcPr>
            <w:tcW w:w="1971"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1635"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lang w:eastAsia="zh-CN"/>
              </w:rPr>
            </w:pPr>
          </w:p>
        </w:tc>
        <w:tc>
          <w:tcPr>
            <w:tcW w:w="2234"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不满十四周岁的未成年人有违法行为的</w:t>
            </w:r>
          </w:p>
        </w:tc>
        <w:tc>
          <w:tcPr>
            <w:tcW w:w="6992"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lang w:val="en-US" w:eastAsia="zh-CN"/>
              </w:rPr>
              <w:t>1.</w:t>
            </w:r>
            <w:r>
              <w:rPr>
                <w:rFonts w:hint="eastAsia" w:ascii="仿宋_GB2312" w:hAnsi="微软雅黑" w:eastAsia="仿宋_GB2312" w:cs="Times New Roman"/>
                <w:color w:val="000000"/>
                <w:szCs w:val="21"/>
                <w:shd w:val="clear" w:color="auto" w:fill="FFFFFF"/>
              </w:rPr>
              <w:t>《中华人民共和国行政处罚法》第三十条</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不满十四周岁的未成年人有违法行为的，不予行政处罚，责令监护人加以管教：已满十四周岁不满十八周岁的未成年人有违法行为的，应当从轻或者减轻行政处罚。</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lang w:val="en-US" w:eastAsia="zh-CN"/>
              </w:rPr>
              <w:t>2.</w:t>
            </w:r>
            <w:r>
              <w:rPr>
                <w:rFonts w:hint="eastAsia" w:ascii="仿宋_GB2312" w:hAnsi="微软雅黑" w:eastAsia="仿宋_GB2312" w:cs="Times New Roman"/>
                <w:color w:val="000000"/>
                <w:szCs w:val="21"/>
                <w:shd w:val="clear" w:color="auto" w:fill="FFFFFF"/>
              </w:rPr>
              <w:t>《中华人民共和国行政处罚法》第三十三条第二款</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当事人有证据足以证明没有主观过错的，不予行政处罚。法律、行政法规另有规定的，从其规定。</w:t>
            </w:r>
          </w:p>
        </w:tc>
        <w:tc>
          <w:tcPr>
            <w:tcW w:w="566"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0" w:hRule="atLeast"/>
        </w:trPr>
        <w:tc>
          <w:tcPr>
            <w:tcW w:w="687"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c>
          <w:tcPr>
            <w:tcW w:w="1971"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1635"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lang w:eastAsia="zh-CN"/>
              </w:rPr>
            </w:pPr>
          </w:p>
        </w:tc>
        <w:tc>
          <w:tcPr>
            <w:tcW w:w="2234"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rPr>
              <w:t>精神病人、智力残疾人在不能辨认或者不能控制自己行为时有违法行为的</w:t>
            </w:r>
          </w:p>
        </w:tc>
        <w:tc>
          <w:tcPr>
            <w:tcW w:w="6992"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lang w:val="en-US" w:eastAsia="zh-CN"/>
              </w:rPr>
              <w:t>1.</w:t>
            </w:r>
            <w:r>
              <w:rPr>
                <w:rFonts w:hint="eastAsia" w:ascii="仿宋_GB2312" w:hAnsi="微软雅黑" w:eastAsia="仿宋_GB2312" w:cs="Times New Roman"/>
                <w:color w:val="000000"/>
                <w:szCs w:val="21"/>
                <w:shd w:val="clear" w:color="auto" w:fill="FFFFFF"/>
              </w:rPr>
              <w:t>《中华人民共和国行政处罚法》第三十一条</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p>
          <w:p>
            <w:pPr>
              <w:spacing w:line="320" w:lineRule="exact"/>
              <w:rPr>
                <w:rFonts w:hint="eastAsia"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lang w:val="en-US" w:eastAsia="zh-CN"/>
              </w:rPr>
              <w:t>2.</w:t>
            </w:r>
            <w:r>
              <w:rPr>
                <w:rFonts w:hint="eastAsia" w:ascii="仿宋_GB2312" w:hAnsi="微软雅黑" w:eastAsia="仿宋_GB2312" w:cs="Times New Roman"/>
                <w:color w:val="000000"/>
                <w:szCs w:val="21"/>
                <w:shd w:val="clear" w:color="auto" w:fill="FFFFFF"/>
              </w:rPr>
              <w:t>《中华人民共和国行政处罚法》第三十三条第二款</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当事人有证据足以证明没有主观过错的，不予行政处罚。法律、行政法规另有规定的，从其规定。</w:t>
            </w:r>
          </w:p>
        </w:tc>
        <w:tc>
          <w:tcPr>
            <w:tcW w:w="566"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20" w:hRule="atLeast"/>
        </w:trPr>
        <w:tc>
          <w:tcPr>
            <w:tcW w:w="687"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c>
          <w:tcPr>
            <w:tcW w:w="1971"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1635"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lang w:eastAsia="zh-CN"/>
              </w:rPr>
            </w:pPr>
          </w:p>
        </w:tc>
        <w:tc>
          <w:tcPr>
            <w:tcW w:w="2234"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rPr>
              <w:t>违法行为在二年内未被发现的，不再给予行政处罚。法律另有规定的除外。前款规定的期限，从违法行为发生之日起计算；违法行为有连续或者继续状态的，从行为终了之日起计算。</w:t>
            </w:r>
          </w:p>
        </w:tc>
        <w:tc>
          <w:tcPr>
            <w:tcW w:w="6992"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lang w:val="en-US" w:eastAsia="zh-CN"/>
              </w:rPr>
              <w:t>1.</w:t>
            </w:r>
            <w:r>
              <w:rPr>
                <w:rFonts w:hint="eastAsia" w:ascii="仿宋_GB2312" w:hAnsi="微软雅黑" w:eastAsia="仿宋_GB2312" w:cs="Times New Roman"/>
                <w:color w:val="000000"/>
                <w:szCs w:val="21"/>
                <w:shd w:val="clear" w:color="auto" w:fill="FFFFFF"/>
              </w:rPr>
              <w:t>《中华人民共和国行政处罚法》第三十六条</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违法行为在二年内未被发现的，不再给予行政处罚；涉及公民生命健康安全、金融安全且有危害后果的，上述期限延长至五年。法律另有规定的除外。前款规定的期限，从违法行为发生之日起计算：违法行为有连续或者继续状态的，从行为终了之日起计算。</w:t>
            </w:r>
          </w:p>
          <w:p>
            <w:pPr>
              <w:spacing w:line="320" w:lineRule="exact"/>
              <w:rPr>
                <w:rFonts w:hint="eastAsia" w:ascii="仿宋_GB2312" w:hAnsi="微软雅黑" w:eastAsia="仿宋_GB2312" w:cs="Times New Roman"/>
                <w:color w:val="000000"/>
                <w:szCs w:val="21"/>
                <w:shd w:val="clear" w:color="auto" w:fill="FFFFFF"/>
                <w:lang w:val="en-US" w:eastAsia="zh-CN"/>
              </w:rPr>
            </w:pPr>
            <w:r>
              <w:rPr>
                <w:rFonts w:hint="eastAsia" w:ascii="仿宋_GB2312" w:hAnsi="微软雅黑" w:eastAsia="仿宋_GB2312" w:cs="Times New Roman"/>
                <w:color w:val="000000"/>
                <w:szCs w:val="21"/>
                <w:shd w:val="clear" w:color="auto" w:fill="FFFFFF"/>
                <w:lang w:val="en-US" w:eastAsia="zh-CN"/>
              </w:rPr>
              <w:t>2.</w:t>
            </w:r>
            <w:r>
              <w:rPr>
                <w:rFonts w:hint="eastAsia" w:ascii="仿宋_GB2312" w:hAnsi="微软雅黑" w:eastAsia="仿宋_GB2312" w:cs="Times New Roman"/>
                <w:color w:val="000000"/>
                <w:szCs w:val="21"/>
                <w:shd w:val="clear" w:color="auto" w:fill="FFFFFF"/>
              </w:rPr>
              <w:t>《中华人民共和国行政处罚法》第三十三条第二款</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当事人有证据足以证明没有主观过错的，不予行政处罚。法律、行政法规另有规定的，从其规定。</w:t>
            </w:r>
          </w:p>
        </w:tc>
        <w:tc>
          <w:tcPr>
            <w:tcW w:w="566" w:type="dxa"/>
            <w:noWrap w:val="0"/>
            <w:vAlign w:val="center"/>
          </w:tcPr>
          <w:p>
            <w:pPr>
              <w:spacing w:line="320" w:lineRule="exact"/>
              <w:rPr>
                <w:rFonts w:hint="eastAsia" w:ascii="仿宋_GB2312" w:hAnsi="微软雅黑" w:eastAsia="仿宋_GB2312" w:cs="Times New Roman"/>
                <w:color w:val="000000"/>
                <w:szCs w:val="21"/>
                <w:shd w:val="clear" w:color="auto" w:fill="FFFFFF"/>
                <w:lang w:val="en-US" w:eastAsia="zh-CN"/>
              </w:rPr>
            </w:pPr>
          </w:p>
        </w:tc>
      </w:tr>
    </w:tbl>
    <w:p>
      <w:pPr>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left"/>
        <w:textAlignment w:val="auto"/>
        <w:rPr>
          <w:rFonts w:hint="eastAsia" w:ascii="仿宋_GB2312" w:hAnsi="微软雅黑" w:eastAsia="仿宋_GB2312" w:cs="Times New Roman"/>
          <w:color w:val="000000"/>
          <w:szCs w:val="21"/>
          <w:shd w:val="clear" w:color="auto" w:fill="FFFFFF"/>
        </w:rPr>
        <w:sectPr>
          <w:footerReference r:id="rId6" w:type="default"/>
          <w:pgSz w:w="16820" w:h="11900" w:orient="landscape"/>
          <w:pgMar w:top="1440" w:right="1720" w:bottom="1440" w:left="1360" w:header="0" w:footer="1100" w:gutter="0"/>
          <w:pgNumType w:fmt="decimal"/>
          <w:cols w:space="720" w:num="1"/>
        </w:sectPr>
      </w:pPr>
      <w:r>
        <w:rPr>
          <w:rFonts w:hint="eastAsia" w:ascii="仿宋_GB2312" w:hAnsi="微软雅黑" w:eastAsia="仿宋_GB2312" w:cs="Times New Roman"/>
          <w:color w:val="000000"/>
          <w:szCs w:val="21"/>
          <w:shd w:val="clear" w:color="auto" w:fill="FFFFFF"/>
        </w:rPr>
        <mc:AlternateContent>
          <mc:Choice Requires="wps">
            <w:drawing>
              <wp:anchor distT="0" distB="0" distL="114300" distR="114300" simplePos="0" relativeHeight="251659264" behindDoc="0" locked="0" layoutInCell="1" allowOverlap="1">
                <wp:simplePos x="0" y="0"/>
                <wp:positionH relativeFrom="page">
                  <wp:posOffset>9220200</wp:posOffset>
                </wp:positionH>
                <wp:positionV relativeFrom="paragraph">
                  <wp:posOffset>5511800</wp:posOffset>
                </wp:positionV>
                <wp:extent cx="965200" cy="177800"/>
                <wp:effectExtent l="0" t="0" r="0" b="0"/>
                <wp:wrapNone/>
                <wp:docPr id="15" name="文本框 2"/>
                <wp:cNvGraphicFramePr/>
                <a:graphic xmlns:a="http://schemas.openxmlformats.org/drawingml/2006/main">
                  <a:graphicData uri="http://schemas.microsoft.com/office/word/2010/wordprocessingShape">
                    <wps:wsp>
                      <wps:cNvSpPr txBox="true"/>
                      <wps:spPr>
                        <a:xfrm>
                          <a:off x="1601470" y="2139315"/>
                          <a:ext cx="2132965" cy="3376295"/>
                        </a:xfrm>
                        <a:prstGeom prst="rect">
                          <a:avLst/>
                        </a:prstGeom>
                        <a:noFill/>
                        <a:ln w="6350">
                          <a:noFill/>
                        </a:ln>
                        <a:effectLst/>
                      </wps:spPr>
                      <wps:txbx>
                        <w:txbxContent>
                          <w:p>
                            <w:pPr>
                              <w:spacing w:line="340" w:lineRule="exact"/>
                              <w:jc w:val="center"/>
                            </w:pPr>
                            <w:r>
                              <w:rPr>
                                <w:rFonts w:hint="eastAsia" w:ascii="Arial" w:hAnsi="Arial" w:eastAsia="Arial"/>
                                <w:color w:val="000000"/>
                                <w:sz w:val="22"/>
                              </w:rPr>
                              <w:t>-3-</w:t>
                            </w:r>
                          </w:p>
                        </w:txbxContent>
                      </wps:txbx>
                      <wps:bodyPr vert="horz" wrap="square" lIns="25400" tIns="0" rIns="25400" bIns="0" anchor="t" anchorCtr="false">
                        <a:noAutofit/>
                      </wps:bodyPr>
                    </wps:wsp>
                  </a:graphicData>
                </a:graphic>
              </wp:anchor>
            </w:drawing>
          </mc:Choice>
          <mc:Fallback>
            <w:pict>
              <v:shape id="文本框 2" o:spid="_x0000_s1026" o:spt="202" type="#_x0000_t202" style="position:absolute;left:0pt;margin-left:726pt;margin-top:434pt;height:14pt;width:76pt;mso-position-horizontal-relative:page;z-index:251659264;mso-width-relative:page;mso-height-relative:page;" filled="f" stroked="f" coordsize="21600,21600" o:gfxdata="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CcUyac2QAAAA0BAAAPAAAAAAAAAAEAIAAAADgAAABkcnMvZG93bnJl&#10;di54bWxQSwECFAAUAAAACACHTuJAzf3wS+YBAACZAwAADgAAAAAAAAABACAAAAA+AQAAZHJzL2Uy&#10;b0RvYy54bWxQSwUGAAAAAAYABgBZAQAAlgUAAAAA&#10;">
                <v:fill on="f" focussize="0,0"/>
                <v:stroke on="f" weight="0.5pt"/>
                <v:imagedata o:title=""/>
                <o:lock v:ext="edit" aspectratio="f"/>
                <v:textbox inset="2pt,0mm,2pt,0mm">
                  <w:txbxContent>
                    <w:p>
                      <w:pPr>
                        <w:spacing w:line="340" w:lineRule="exact"/>
                        <w:jc w:val="center"/>
                      </w:pPr>
                      <w:r>
                        <w:rPr>
                          <w:rFonts w:hint="eastAsia" w:ascii="Arial" w:hAnsi="Arial" w:eastAsia="Arial"/>
                          <w:color w:val="000000"/>
                          <w:sz w:val="22"/>
                        </w:rPr>
                        <w:t>-3-</w:t>
                      </w:r>
                    </w:p>
                  </w:txbxContent>
                </v:textbox>
              </v:shape>
            </w:pict>
          </mc:Fallback>
        </mc:AlternateContent>
      </w:r>
    </w:p>
    <w:p>
      <w:pPr>
        <w:spacing w:line="1" w:lineRule="exact"/>
        <w:sectPr>
          <w:footerReference r:id="rId7" w:type="default"/>
          <w:type w:val="continuous"/>
          <w:pgSz w:w="16820" w:h="11900" w:orient="landscape"/>
          <w:pgMar w:top="1440" w:right="1800" w:bottom="1440" w:left="1400" w:header="0" w:footer="1120" w:gutter="0"/>
          <w:pgNumType w:fmt="decimal"/>
          <w:cols w:space="720" w:num="1"/>
        </w:sectPr>
      </w:pPr>
      <w:r>
        <mc:AlternateContent>
          <mc:Choice Requires="wps">
            <w:drawing>
              <wp:anchor distT="0" distB="0" distL="114300" distR="114300" simplePos="0" relativeHeight="251658240" behindDoc="0" locked="0" layoutInCell="1" allowOverlap="1">
                <wp:simplePos x="0" y="0"/>
                <wp:positionH relativeFrom="page">
                  <wp:posOffset>9055100</wp:posOffset>
                </wp:positionH>
                <wp:positionV relativeFrom="paragraph">
                  <wp:posOffset>5435600</wp:posOffset>
                </wp:positionV>
                <wp:extent cx="850900" cy="177800"/>
                <wp:effectExtent l="0" t="0" r="0" b="0"/>
                <wp:wrapNone/>
                <wp:docPr id="39" name="文本框 2"/>
                <wp:cNvGraphicFramePr/>
                <a:graphic xmlns:a="http://schemas.openxmlformats.org/drawingml/2006/main">
                  <a:graphicData uri="http://schemas.microsoft.com/office/word/2010/wordprocessingShape">
                    <wps:wsp>
                      <wps:cNvSpPr txBox="true"/>
                      <wps:spPr>
                        <a:xfrm>
                          <a:off x="1601470" y="2139315"/>
                          <a:ext cx="2132965" cy="3376295"/>
                        </a:xfrm>
                        <a:prstGeom prst="rect">
                          <a:avLst/>
                        </a:prstGeom>
                        <a:noFill/>
                        <a:ln w="6350">
                          <a:noFill/>
                        </a:ln>
                        <a:effectLst/>
                      </wps:spPr>
                      <wps:txbx>
                        <w:txbxContent>
                          <w:p>
                            <w:pPr>
                              <w:spacing w:line="340" w:lineRule="exact"/>
                              <w:jc w:val="center"/>
                            </w:pPr>
                            <w:r>
                              <w:rPr>
                                <w:rFonts w:hint="eastAsia" w:ascii="Arial" w:hAnsi="Arial" w:eastAsia="Arial"/>
                                <w:color w:val="000000"/>
                                <w:sz w:val="22"/>
                              </w:rPr>
                              <w:t>-15-</w:t>
                            </w:r>
                          </w:p>
                        </w:txbxContent>
                      </wps:txbx>
                      <wps:bodyPr vert="horz" wrap="square" lIns="25400" tIns="0" rIns="25400" bIns="0" anchor="t" anchorCtr="false">
                        <a:noAutofit/>
                      </wps:bodyPr>
                    </wps:wsp>
                  </a:graphicData>
                </a:graphic>
              </wp:anchor>
            </w:drawing>
          </mc:Choice>
          <mc:Fallback>
            <w:pict>
              <v:shape id="文本框 2" o:spid="_x0000_s1026" o:spt="202" type="#_x0000_t202" style="position:absolute;left:0pt;margin-left:713pt;margin-top:428pt;height:14pt;width:67pt;mso-position-horizontal-relative:page;z-index:251658240;mso-width-relative:page;mso-height-relative:page;" filled="f" stroked="f" coordsize="21600,21600" o:gfxdata="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Ix27p9gAAAANAQAADwAAAAAAAAABACAAAAA4AAAAZHJzL2Rvd25y&#10;ZXYueG1sUEsBAhQAFAAAAAgAh07iQABteMvoAQAAmQMAAA4AAAAAAAAAAQAgAAAAPQEAAGRycy9l&#10;Mm9Eb2MueG1sUEsFBgAAAAAGAAYAWQEAAJcFAAAAAA==&#10;">
                <v:fill on="f" focussize="0,0"/>
                <v:stroke on="f" weight="0.5pt"/>
                <v:imagedata o:title=""/>
                <o:lock v:ext="edit" aspectratio="f"/>
                <v:textbox inset="2pt,0mm,2pt,0mm">
                  <w:txbxContent>
                    <w:p>
                      <w:pPr>
                        <w:spacing w:line="340" w:lineRule="exact"/>
                        <w:jc w:val="center"/>
                      </w:pPr>
                      <w:r>
                        <w:rPr>
                          <w:rFonts w:hint="eastAsia" w:ascii="Arial" w:hAnsi="Arial" w:eastAsia="Arial"/>
                          <w:color w:val="000000"/>
                          <w:sz w:val="22"/>
                        </w:rPr>
                        <w:t>-15-</w:t>
                      </w:r>
                    </w:p>
                  </w:txbxContent>
                </v:textbox>
              </v:shape>
            </w:pict>
          </mc:Fallback>
        </mc:AlternateContent>
      </w:r>
    </w:p>
    <w:p>
      <w:pPr>
        <w:keepNext w:val="0"/>
        <w:keepLines w:val="0"/>
        <w:pageBreakBefore w:val="0"/>
        <w:widowControl/>
        <w:kinsoku/>
        <w:wordWrap/>
        <w:overflowPunct/>
        <w:topLinePunct w:val="0"/>
        <w:autoSpaceDE/>
        <w:autoSpaceDN/>
        <w:bidi w:val="0"/>
        <w:adjustRightInd/>
        <w:snapToGrid/>
        <w:spacing w:line="560" w:lineRule="exact"/>
        <w:ind w:firstLine="0"/>
        <w:jc w:val="both"/>
        <w:textAlignment w:val="auto"/>
        <w:outlineLvl w:val="0"/>
        <w:rPr>
          <w:rFonts w:hint="default" w:ascii="黑体" w:hAnsi="黑体" w:eastAsia="黑体" w:cs="黑体"/>
          <w:color w:val="000000"/>
          <w:sz w:val="32"/>
          <w:szCs w:val="32"/>
          <w:lang w:val="en-US" w:eastAsia="zh-CN"/>
        </w:rPr>
      </w:pPr>
      <w:r>
        <w:rPr>
          <w:rFonts w:hint="eastAsia" w:ascii="黑体" w:hAnsi="黑体" w:eastAsia="黑体" w:cs="黑体"/>
          <w:color w:val="000000"/>
          <w:sz w:val="32"/>
          <w:szCs w:val="32"/>
          <w:lang w:val="en" w:eastAsia="zh-CN"/>
        </w:rPr>
        <w:t>附件</w:t>
      </w:r>
      <w:r>
        <w:rPr>
          <w:rFonts w:hint="eastAsia" w:ascii="黑体" w:hAnsi="黑体" w:eastAsia="黑体" w:cs="黑体"/>
          <w:color w:val="00000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从轻处罚事项清单（试行）</w:t>
      </w:r>
    </w:p>
    <w:p>
      <w:pPr>
        <w:keepNext w:val="0"/>
        <w:keepLines w:val="0"/>
        <w:pageBreakBefore w:val="0"/>
        <w:widowControl/>
        <w:kinsoku/>
        <w:wordWrap/>
        <w:overflowPunct/>
        <w:topLinePunct w:val="0"/>
        <w:autoSpaceDE/>
        <w:autoSpaceDN/>
        <w:bidi w:val="0"/>
        <w:adjustRightInd/>
        <w:snapToGrid/>
        <w:spacing w:line="440" w:lineRule="exact"/>
        <w:ind w:firstLine="0"/>
        <w:jc w:val="left"/>
        <w:textAlignment w:val="auto"/>
        <w:outlineLvl w:val="1"/>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单位：</w:t>
      </w:r>
      <w:r>
        <w:rPr>
          <w:rFonts w:hint="eastAsia" w:ascii="仿宋_GB2312" w:hAnsi="仿宋_GB2312" w:eastAsia="仿宋_GB2312" w:cs="仿宋_GB2312"/>
          <w:color w:val="000000"/>
          <w:sz w:val="32"/>
          <w:szCs w:val="32"/>
          <w:lang w:eastAsia="zh-CN"/>
        </w:rPr>
        <w:t>丽水市林业局</w:t>
      </w:r>
    </w:p>
    <w:tbl>
      <w:tblPr>
        <w:tblStyle w:val="7"/>
        <w:tblW w:w="13826"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747"/>
        <w:gridCol w:w="2401"/>
        <w:gridCol w:w="1029"/>
        <w:gridCol w:w="3148"/>
        <w:gridCol w:w="5750"/>
        <w:gridCol w:w="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80" w:hRule="atLeast"/>
          <w:jc w:val="right"/>
        </w:trPr>
        <w:tc>
          <w:tcPr>
            <w:tcW w:w="747"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序号</w:t>
            </w:r>
          </w:p>
        </w:tc>
        <w:tc>
          <w:tcPr>
            <w:tcW w:w="2401"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行政处罚事项</w:t>
            </w:r>
          </w:p>
        </w:tc>
        <w:tc>
          <w:tcPr>
            <w:tcW w:w="1029"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实施机关</w:t>
            </w:r>
          </w:p>
        </w:tc>
        <w:tc>
          <w:tcPr>
            <w:tcW w:w="3148"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从轻处罚适用条件</w:t>
            </w:r>
          </w:p>
        </w:tc>
        <w:tc>
          <w:tcPr>
            <w:tcW w:w="5750"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法律依据</w:t>
            </w:r>
          </w:p>
        </w:tc>
        <w:tc>
          <w:tcPr>
            <w:tcW w:w="751"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备</w:t>
            </w:r>
            <w:r>
              <w:rPr>
                <w:rFonts w:hint="eastAsia" w:ascii="宋体" w:hAnsi="宋体" w:eastAsia="宋体" w:cs="宋体"/>
                <w:b/>
                <w:bCs/>
                <w:color w:val="000000"/>
                <w:sz w:val="24"/>
                <w:szCs w:val="24"/>
                <w:lang w:val="en-US" w:eastAsia="zh-CN"/>
              </w:rPr>
              <w:t xml:space="preserve"> </w:t>
            </w:r>
            <w:r>
              <w:rPr>
                <w:rFonts w:hint="eastAsia" w:ascii="宋体" w:hAnsi="宋体" w:eastAsia="宋体" w:cs="宋体"/>
                <w:b/>
                <w:bCs/>
                <w:color w:val="000000"/>
                <w:sz w:val="24"/>
                <w:szCs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 w:hRule="atLeast"/>
          <w:jc w:val="right"/>
        </w:trPr>
        <w:tc>
          <w:tcPr>
            <w:tcW w:w="747" w:type="dxa"/>
            <w:vMerge w:val="restart"/>
            <w:noWrap w:val="0"/>
            <w:vAlign w:val="center"/>
          </w:tcPr>
          <w:p>
            <w:pPr>
              <w:spacing w:line="320" w:lineRule="exact"/>
              <w:jc w:val="center"/>
              <w:rPr>
                <w:rFonts w:hint="eastAsia" w:ascii="仿宋_GB2312" w:hAnsi="微软雅黑" w:eastAsia="仿宋_GB2312" w:cs="Times New Roman"/>
                <w:color w:val="000000"/>
                <w:szCs w:val="21"/>
                <w:shd w:val="clear" w:color="auto" w:fill="FFFFFF"/>
                <w:lang w:eastAsia="zh-CN"/>
              </w:rPr>
            </w:pPr>
            <w:r>
              <w:rPr>
                <w:rFonts w:hint="eastAsia" w:ascii="仿宋_GB2312" w:hAnsi="微软雅黑" w:eastAsia="仿宋_GB2312" w:cs="Times New Roman"/>
                <w:color w:val="000000"/>
                <w:szCs w:val="21"/>
                <w:shd w:val="clear" w:color="auto" w:fill="FFFFFF"/>
                <w:lang w:val="en-US" w:eastAsia="zh-CN"/>
              </w:rPr>
              <w:t>1</w:t>
            </w:r>
          </w:p>
        </w:tc>
        <w:tc>
          <w:tcPr>
            <w:tcW w:w="2401" w:type="dxa"/>
            <w:vMerge w:val="restart"/>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对违反林业监管领域法律、法规、规章的处罚。</w:t>
            </w:r>
          </w:p>
        </w:tc>
        <w:tc>
          <w:tcPr>
            <w:tcW w:w="1029" w:type="dxa"/>
            <w:vMerge w:val="restart"/>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lang w:eastAsia="zh-CN"/>
              </w:rPr>
              <w:t>县级以上</w:t>
            </w:r>
            <w:r>
              <w:rPr>
                <w:rFonts w:hint="eastAsia" w:ascii="仿宋_GB2312" w:hAnsi="微软雅黑" w:eastAsia="仿宋_GB2312" w:cs="Times New Roman"/>
                <w:color w:val="000000"/>
                <w:szCs w:val="21"/>
                <w:shd w:val="clear" w:color="auto" w:fill="FFFFFF"/>
              </w:rPr>
              <w:t>林业主管部门</w:t>
            </w:r>
          </w:p>
        </w:tc>
        <w:tc>
          <w:tcPr>
            <w:tcW w:w="3148"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已满十四周岁不满十八周岁的未成年人有违法行为的。</w:t>
            </w:r>
          </w:p>
        </w:tc>
        <w:tc>
          <w:tcPr>
            <w:tcW w:w="5750"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《中华人民共和国行政处罚法》第三十条</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不满十四周岁的未成年人有违法行为的，不予行政处罚，责令监护人加以管教；已满十四周岁不满十八周岁的未成年人有违法行为的，应当从轻或者减轻行政处罚。</w:t>
            </w:r>
          </w:p>
        </w:tc>
        <w:tc>
          <w:tcPr>
            <w:tcW w:w="751" w:type="dxa"/>
            <w:noWrap w:val="0"/>
            <w:vAlign w:val="center"/>
          </w:tcPr>
          <w:p>
            <w:pPr>
              <w:spacing w:line="320" w:lineRule="exact"/>
              <w:rPr>
                <w:rFonts w:hint="eastAsia" w:ascii="仿宋_GB2312" w:hAnsi="微软雅黑" w:eastAsia="仿宋_GB2312" w:cs="Times New Roman"/>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460" w:hRule="atLeast"/>
          <w:jc w:val="right"/>
        </w:trPr>
        <w:tc>
          <w:tcPr>
            <w:tcW w:w="747"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2401"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1029"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3148"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1．主动消除或者减轻违法行为危害后果的；</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2．受他人胁迫或者诱骗实施违法行为的；</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3．主动供述行政机关尚未掌握的违法行为的；</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4．配合行政机关查处违法行为有立功表现的；</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5．法律、法规、规章规定其他应当从轻或者减轻行政处罚的。</w:t>
            </w:r>
          </w:p>
        </w:tc>
        <w:tc>
          <w:tcPr>
            <w:tcW w:w="5750" w:type="dxa"/>
            <w:noWrap w:val="0"/>
            <w:vAlign w:val="center"/>
          </w:tcPr>
          <w:p>
            <w:pPr>
              <w:spacing w:line="320" w:lineRule="exact"/>
              <w:rPr>
                <w:rFonts w:hint="eastAsia" w:ascii="仿宋_GB2312" w:hAnsi="微软雅黑" w:eastAsia="仿宋_GB2312" w:cs="Times New Roman"/>
                <w:color w:val="000000"/>
                <w:szCs w:val="21"/>
                <w:shd w:val="clear" w:color="auto" w:fill="FFFFFF"/>
                <w:lang w:eastAsia="zh-CN"/>
              </w:rPr>
            </w:pPr>
            <w:r>
              <w:rPr>
                <w:rFonts w:hint="eastAsia" w:ascii="仿宋_GB2312" w:hAnsi="微软雅黑" w:eastAsia="仿宋_GB2312" w:cs="Times New Roman"/>
                <w:color w:val="000000"/>
                <w:szCs w:val="21"/>
                <w:shd w:val="clear" w:color="auto" w:fill="FFFFFF"/>
              </w:rPr>
              <w:t>《中华人民共和国行政处罚法》第三十二条</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当事人有下列情形之一，应当从轻或者减轻行政处罚：（一）主动消除或者减轻违法行为危害后果的；（二）受他人胁迫或者诱骗实施违法行为的；（三）主动供述行政机关尚未掌握的违法行为的；（四）配合行政机关查处违法行为有立功表现的；（五）法律、法规、规章规定其他应当从轻或者减轻行政处罚的</w:t>
            </w:r>
            <w:r>
              <w:rPr>
                <w:rFonts w:hint="eastAsia" w:ascii="仿宋_GB2312" w:hAnsi="微软雅黑" w:eastAsia="仿宋_GB2312" w:cs="Times New Roman"/>
                <w:color w:val="000000"/>
                <w:szCs w:val="21"/>
                <w:shd w:val="clear" w:color="auto" w:fill="FFFFFF"/>
                <w:lang w:eastAsia="zh-CN"/>
              </w:rPr>
              <w:t>。</w:t>
            </w:r>
          </w:p>
        </w:tc>
        <w:tc>
          <w:tcPr>
            <w:tcW w:w="751" w:type="dxa"/>
            <w:noWrap w:val="0"/>
            <w:vAlign w:val="center"/>
          </w:tcPr>
          <w:p>
            <w:pPr>
              <w:spacing w:line="320" w:lineRule="exact"/>
              <w:rPr>
                <w:rFonts w:hint="eastAsia" w:ascii="仿宋_GB2312" w:hAnsi="微软雅黑" w:eastAsia="仿宋_GB2312" w:cs="Times New Roman"/>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610" w:hRule="atLeast"/>
          <w:jc w:val="right"/>
        </w:trPr>
        <w:tc>
          <w:tcPr>
            <w:tcW w:w="747"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2401"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1029"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3148"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尚未完全丧失辨认或者控制自己行为能力的精神病人、智力残疾人有违法行为的</w:t>
            </w:r>
          </w:p>
        </w:tc>
        <w:tc>
          <w:tcPr>
            <w:tcW w:w="5750"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《中华人民共和国行政处罚法》第三十一条</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p>
        </w:tc>
        <w:tc>
          <w:tcPr>
            <w:tcW w:w="751" w:type="dxa"/>
            <w:noWrap w:val="0"/>
            <w:vAlign w:val="center"/>
          </w:tcPr>
          <w:p>
            <w:pPr>
              <w:spacing w:line="320" w:lineRule="exact"/>
              <w:rPr>
                <w:rFonts w:hint="eastAsia" w:ascii="仿宋_GB2312" w:hAnsi="微软雅黑" w:eastAsia="仿宋_GB2312" w:cs="Times New Roman"/>
                <w:color w:val="000000"/>
                <w:szCs w:val="21"/>
                <w:shd w:val="clear" w:color="auto" w:fill="FFFFFF"/>
              </w:rPr>
            </w:pPr>
          </w:p>
        </w:tc>
      </w:tr>
    </w:tbl>
    <w:p>
      <w:pPr>
        <w:keepNext w:val="0"/>
        <w:keepLines w:val="0"/>
        <w:pageBreakBefore w:val="0"/>
        <w:widowControl/>
        <w:kinsoku/>
        <w:wordWrap/>
        <w:overflowPunct/>
        <w:topLinePunct w:val="0"/>
        <w:autoSpaceDE/>
        <w:autoSpaceDN/>
        <w:bidi w:val="0"/>
        <w:adjustRightInd/>
        <w:snapToGrid/>
        <w:spacing w:line="560" w:lineRule="exact"/>
        <w:ind w:firstLine="0"/>
        <w:jc w:val="both"/>
        <w:textAlignment w:val="auto"/>
        <w:outlineLvl w:val="0"/>
        <w:rPr>
          <w:rFonts w:hint="eastAsia" w:ascii="黑体" w:hAnsi="黑体" w:eastAsia="黑体" w:cs="黑体"/>
          <w:color w:val="000000"/>
          <w:sz w:val="32"/>
          <w:szCs w:val="32"/>
        </w:rPr>
        <w:sectPr>
          <w:footerReference r:id="rId8" w:type="default"/>
          <w:pgSz w:w="16838" w:h="11906" w:orient="landscape"/>
          <w:pgMar w:top="1400" w:right="1440" w:bottom="1400" w:left="1418" w:header="851" w:footer="992" w:gutter="0"/>
          <w:pgNumType w:fmt="decimal"/>
          <w:cols w:space="720" w:num="1"/>
          <w:titlePg/>
          <w:docGrid w:type="lines" w:linePitch="312" w:charSpace="0"/>
        </w:sectPr>
      </w:pPr>
    </w:p>
    <w:p>
      <w:pPr>
        <w:keepNext w:val="0"/>
        <w:keepLines w:val="0"/>
        <w:pageBreakBefore w:val="0"/>
        <w:widowControl/>
        <w:kinsoku/>
        <w:wordWrap/>
        <w:overflowPunct/>
        <w:topLinePunct w:val="0"/>
        <w:autoSpaceDE/>
        <w:autoSpaceDN/>
        <w:bidi w:val="0"/>
        <w:adjustRightInd/>
        <w:snapToGrid/>
        <w:spacing w:line="560" w:lineRule="exact"/>
        <w:ind w:firstLine="0"/>
        <w:jc w:val="both"/>
        <w:textAlignment w:val="auto"/>
        <w:outlineLvl w:val="0"/>
        <w:rPr>
          <w:rFonts w:hint="eastAsia" w:ascii="黑体" w:hAnsi="黑体" w:eastAsia="黑体" w:cs="黑体"/>
          <w:color w:val="000000"/>
          <w:sz w:val="32"/>
          <w:szCs w:val="32"/>
        </w:rPr>
      </w:pPr>
      <w:r>
        <w:rPr>
          <w:rFonts w:hint="eastAsia" w:ascii="黑体" w:hAnsi="黑体" w:eastAsia="黑体" w:cs="黑体"/>
          <w:color w:val="000000"/>
          <w:sz w:val="32"/>
          <w:szCs w:val="32"/>
        </w:rPr>
        <w:t>附件3</w:t>
      </w:r>
    </w:p>
    <w:p>
      <w:pPr>
        <w:keepNext w:val="0"/>
        <w:keepLines w:val="0"/>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减轻处罚事项清单（试行）</w:t>
      </w:r>
    </w:p>
    <w:p>
      <w:pPr>
        <w:keepNext w:val="0"/>
        <w:keepLines w:val="0"/>
        <w:pageBreakBefore w:val="0"/>
        <w:widowControl/>
        <w:kinsoku/>
        <w:wordWrap/>
        <w:overflowPunct/>
        <w:topLinePunct w:val="0"/>
        <w:autoSpaceDE/>
        <w:autoSpaceDN/>
        <w:bidi w:val="0"/>
        <w:adjustRightInd/>
        <w:snapToGrid/>
        <w:spacing w:line="440" w:lineRule="exact"/>
        <w:ind w:firstLine="0" w:firstLineChars="0"/>
        <w:jc w:val="left"/>
        <w:textAlignment w:val="auto"/>
        <w:outlineLvl w:val="1"/>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单位：</w:t>
      </w:r>
      <w:r>
        <w:rPr>
          <w:rFonts w:hint="eastAsia" w:ascii="仿宋_GB2312" w:hAnsi="仿宋_GB2312" w:eastAsia="仿宋_GB2312" w:cs="仿宋_GB2312"/>
          <w:color w:val="000000"/>
          <w:sz w:val="32"/>
          <w:szCs w:val="32"/>
          <w:lang w:eastAsia="zh-CN"/>
        </w:rPr>
        <w:t>丽水市林业局</w:t>
      </w:r>
    </w:p>
    <w:tbl>
      <w:tblPr>
        <w:tblStyle w:val="7"/>
        <w:tblW w:w="13950"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095"/>
        <w:gridCol w:w="2418"/>
        <w:gridCol w:w="837"/>
        <w:gridCol w:w="2588"/>
        <w:gridCol w:w="6407"/>
        <w:gridCol w:w="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40" w:hRule="atLeast"/>
          <w:jc w:val="right"/>
        </w:trPr>
        <w:tc>
          <w:tcPr>
            <w:tcW w:w="1095"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序号</w:t>
            </w:r>
          </w:p>
        </w:tc>
        <w:tc>
          <w:tcPr>
            <w:tcW w:w="2418"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行政处罚事项</w:t>
            </w:r>
          </w:p>
        </w:tc>
        <w:tc>
          <w:tcPr>
            <w:tcW w:w="837"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实施</w:t>
            </w:r>
          </w:p>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机关</w:t>
            </w:r>
          </w:p>
        </w:tc>
        <w:tc>
          <w:tcPr>
            <w:tcW w:w="2588"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减轻处罚适用条件</w:t>
            </w:r>
          </w:p>
        </w:tc>
        <w:tc>
          <w:tcPr>
            <w:tcW w:w="6407"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法律依据</w:t>
            </w:r>
          </w:p>
        </w:tc>
        <w:tc>
          <w:tcPr>
            <w:tcW w:w="605"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wBefore w:w="0" w:type="auto"/>
          <w:trHeight w:val="840" w:hRule="atLeast"/>
          <w:jc w:val="right"/>
        </w:trPr>
        <w:tc>
          <w:tcPr>
            <w:tcW w:w="1095" w:type="dxa"/>
            <w:vMerge w:val="restart"/>
            <w:noWrap w:val="0"/>
            <w:vAlign w:val="center"/>
          </w:tcPr>
          <w:p>
            <w:pPr>
              <w:spacing w:line="320" w:lineRule="exact"/>
              <w:jc w:val="center"/>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1</w:t>
            </w:r>
          </w:p>
        </w:tc>
        <w:tc>
          <w:tcPr>
            <w:tcW w:w="2418" w:type="dxa"/>
            <w:vMerge w:val="restart"/>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对违反林业监管领域法律、法规、规章的处罚</w:t>
            </w:r>
          </w:p>
        </w:tc>
        <w:tc>
          <w:tcPr>
            <w:tcW w:w="837" w:type="dxa"/>
            <w:vMerge w:val="restart"/>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lang w:eastAsia="zh-CN"/>
              </w:rPr>
              <w:t>县级以上</w:t>
            </w:r>
            <w:r>
              <w:rPr>
                <w:rFonts w:hint="eastAsia" w:ascii="仿宋_GB2312" w:hAnsi="微软雅黑" w:eastAsia="仿宋_GB2312" w:cs="Times New Roman"/>
                <w:color w:val="000000"/>
                <w:szCs w:val="21"/>
                <w:shd w:val="clear" w:color="auto" w:fill="FFFFFF"/>
              </w:rPr>
              <w:t>林业主管部门</w:t>
            </w:r>
          </w:p>
        </w:tc>
        <w:tc>
          <w:tcPr>
            <w:tcW w:w="2588"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已满十四周岁不满十八周岁的未成年人有违法行为的。</w:t>
            </w:r>
          </w:p>
        </w:tc>
        <w:tc>
          <w:tcPr>
            <w:tcW w:w="6407"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《中华人民共和国行政处罚法》第三十条</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不满十四周岁的未成年人有违法行为的，不予行政处罚，贵令监护人加以管教；已满十四周岁不满十八周岁的未成年人有违法行为的，应当从轻或者减轻行政处罚。</w:t>
            </w:r>
          </w:p>
        </w:tc>
        <w:tc>
          <w:tcPr>
            <w:tcW w:w="605" w:type="dxa"/>
            <w:noWrap w:val="0"/>
            <w:vAlign w:val="center"/>
          </w:tcPr>
          <w:p>
            <w:pPr>
              <w:spacing w:line="320" w:lineRule="exact"/>
              <w:rPr>
                <w:rFonts w:hint="eastAsia" w:ascii="仿宋_GB2312" w:hAnsi="微软雅黑" w:eastAsia="仿宋_GB2312" w:cs="Times New Roman"/>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wBefore w:w="0" w:type="auto"/>
          <w:trHeight w:val="2660" w:hRule="atLeast"/>
          <w:jc w:val="right"/>
        </w:trPr>
        <w:tc>
          <w:tcPr>
            <w:tcW w:w="1095"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2418"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837"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2588"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1．主动消除或者减轻违法行为危害后果的：</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2．受他人胁迫或者诱骗实施违法行为的；</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3．主动供述行政机关尚未掌握的违法行为的；</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4．配合行政机关查处违法行为有立功表现的；</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5．法律、法规、规章规定其他应当从轻或者减轻行政处罚的。</w:t>
            </w:r>
          </w:p>
        </w:tc>
        <w:tc>
          <w:tcPr>
            <w:tcW w:w="6407"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《中华人民共和国行政处罚法》第三十二条</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当事人有下列情形之一，应当从轻或减轻行政处罚：（一）主动消除或者减轻违法行为危害后果的：（二）受他人胁迫或者诱骗实施违法行为的；（三）主动供述行政机关尚未掌握的违法行为的；（四）配合行政机关查处违法行为有立功表现的；（五）法律、法规、规章规定其他应当从轻或者减轻行政处罚的。</w:t>
            </w:r>
          </w:p>
        </w:tc>
        <w:tc>
          <w:tcPr>
            <w:tcW w:w="605" w:type="dxa"/>
            <w:noWrap w:val="0"/>
            <w:vAlign w:val="center"/>
          </w:tcPr>
          <w:p>
            <w:pPr>
              <w:spacing w:line="320" w:lineRule="exact"/>
              <w:rPr>
                <w:rFonts w:hint="eastAsia" w:ascii="仿宋_GB2312" w:hAnsi="微软雅黑" w:eastAsia="仿宋_GB2312" w:cs="Times New Roman"/>
                <w:color w:val="000000"/>
                <w:szCs w:val="21"/>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wBefore w:w="0" w:type="auto"/>
          <w:trHeight w:val="2055" w:hRule="atLeast"/>
          <w:jc w:val="right"/>
        </w:trPr>
        <w:tc>
          <w:tcPr>
            <w:tcW w:w="1095"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2418"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837" w:type="dxa"/>
            <w:vMerge w:val="continue"/>
            <w:noWrap w:val="0"/>
            <w:vAlign w:val="center"/>
          </w:tcPr>
          <w:p>
            <w:pPr>
              <w:spacing w:line="320" w:lineRule="exact"/>
              <w:rPr>
                <w:rFonts w:hint="eastAsia" w:ascii="仿宋_GB2312" w:hAnsi="微软雅黑" w:eastAsia="仿宋_GB2312" w:cs="Times New Roman"/>
                <w:color w:val="000000"/>
                <w:szCs w:val="21"/>
                <w:shd w:val="clear" w:color="auto" w:fill="FFFFFF"/>
              </w:rPr>
            </w:pPr>
          </w:p>
        </w:tc>
        <w:tc>
          <w:tcPr>
            <w:tcW w:w="2588"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尚未完全丧失辨认或者控制自己行为能力的精神病人、智力残疾人有违法行为的</w:t>
            </w:r>
          </w:p>
        </w:tc>
        <w:tc>
          <w:tcPr>
            <w:tcW w:w="6407"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《中华人民共和国行政处罚法》第三十一条</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p>
        </w:tc>
        <w:tc>
          <w:tcPr>
            <w:tcW w:w="605" w:type="dxa"/>
            <w:noWrap w:val="0"/>
            <w:vAlign w:val="center"/>
          </w:tcPr>
          <w:p>
            <w:pPr>
              <w:spacing w:line="320" w:lineRule="exact"/>
              <w:rPr>
                <w:rFonts w:hint="eastAsia" w:ascii="仿宋_GB2312" w:hAnsi="微软雅黑" w:eastAsia="仿宋_GB2312" w:cs="Times New Roman"/>
                <w:color w:val="000000"/>
                <w:szCs w:val="21"/>
                <w:shd w:val="clear" w:color="auto" w:fill="FFFFFF"/>
              </w:rPr>
            </w:pPr>
          </w:p>
        </w:tc>
      </w:tr>
    </w:tbl>
    <w:p>
      <w:pPr>
        <w:pStyle w:val="2"/>
        <w:keepNext w:val="0"/>
        <w:keepLines w:val="0"/>
        <w:pageBreakBefore w:val="0"/>
        <w:widowControl/>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kern w:val="2"/>
          <w:sz w:val="32"/>
          <w:szCs w:val="32"/>
          <w:lang w:val="en-US" w:eastAsia="zh-CN" w:bidi="ar-SA"/>
        </w:rPr>
        <w:sectPr>
          <w:pgSz w:w="16838" w:h="11906" w:orient="landscape"/>
          <w:pgMar w:top="1400" w:right="1440" w:bottom="1400" w:left="1418" w:header="851" w:footer="992" w:gutter="0"/>
          <w:pgNumType w:fmt="decimal"/>
          <w:cols w:space="720" w:num="1"/>
          <w:titlePg/>
          <w:docGrid w:type="lines" w:linePitch="312" w:charSpace="0"/>
        </w:sectPr>
      </w:pPr>
    </w:p>
    <w:p>
      <w:pPr>
        <w:keepNext w:val="0"/>
        <w:keepLines w:val="0"/>
        <w:pageBreakBefore w:val="0"/>
        <w:widowControl/>
        <w:kinsoku/>
        <w:wordWrap/>
        <w:overflowPunct/>
        <w:topLinePunct w:val="0"/>
        <w:autoSpaceDE/>
        <w:autoSpaceDN/>
        <w:bidi w:val="0"/>
        <w:adjustRightInd/>
        <w:snapToGrid/>
        <w:spacing w:line="560" w:lineRule="exact"/>
        <w:ind w:firstLine="0"/>
        <w:jc w:val="both"/>
        <w:textAlignment w:val="auto"/>
        <w:outlineLvl w:val="0"/>
        <w:rPr>
          <w:rFonts w:hint="eastAsia" w:ascii="黑体" w:hAnsi="黑体" w:eastAsia="黑体" w:cs="黑体"/>
          <w:color w:val="000000"/>
          <w:sz w:val="32"/>
          <w:szCs w:val="32"/>
          <w:lang w:val="en" w:eastAsia="zh-CN"/>
        </w:rPr>
      </w:pPr>
      <w:r>
        <w:rPr>
          <w:rFonts w:hint="eastAsia" w:ascii="黑体" w:hAnsi="黑体" w:eastAsia="黑体" w:cs="黑体"/>
          <w:color w:val="000000"/>
          <w:sz w:val="32"/>
          <w:szCs w:val="32"/>
          <w:lang w:val="en" w:eastAsia="zh-CN"/>
        </w:rPr>
        <w:t>附件4</w:t>
      </w:r>
    </w:p>
    <w:p>
      <w:pPr>
        <w:keepNext w:val="0"/>
        <w:keepLines w:val="0"/>
        <w:pageBreakBefore w:val="0"/>
        <w:widowControl w:val="0"/>
        <w:kinsoku/>
        <w:wordWrap/>
        <w:overflowPunct/>
        <w:topLinePunct w:val="0"/>
        <w:autoSpaceDE/>
        <w:autoSpaceDN/>
        <w:bidi w:val="0"/>
        <w:adjustRightInd/>
        <w:snapToGrid/>
        <w:spacing w:before="0" w:after="0" w:line="600" w:lineRule="exact"/>
        <w:jc w:val="center"/>
        <w:textAlignment w:val="auto"/>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免予行政强制事项清单（试行）</w:t>
      </w:r>
    </w:p>
    <w:p>
      <w:pPr>
        <w:keepNext w:val="0"/>
        <w:keepLines w:val="0"/>
        <w:pageBreakBefore w:val="0"/>
        <w:widowControl/>
        <w:kinsoku/>
        <w:wordWrap/>
        <w:overflowPunct/>
        <w:topLinePunct w:val="0"/>
        <w:autoSpaceDE/>
        <w:autoSpaceDN/>
        <w:bidi w:val="0"/>
        <w:adjustRightInd/>
        <w:snapToGrid/>
        <w:spacing w:line="440" w:lineRule="exact"/>
        <w:ind w:firstLine="0"/>
        <w:jc w:val="left"/>
        <w:textAlignment w:val="auto"/>
        <w:outlineLvl w:val="1"/>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单位：</w:t>
      </w:r>
      <w:r>
        <w:rPr>
          <w:rFonts w:hint="eastAsia" w:ascii="仿宋_GB2312" w:hAnsi="仿宋_GB2312" w:eastAsia="仿宋_GB2312" w:cs="仿宋_GB2312"/>
          <w:color w:val="000000"/>
          <w:sz w:val="32"/>
          <w:szCs w:val="32"/>
          <w:lang w:eastAsia="zh-CN"/>
        </w:rPr>
        <w:t>丽水市林业局</w:t>
      </w:r>
    </w:p>
    <w:tbl>
      <w:tblPr>
        <w:tblStyle w:val="7"/>
        <w:tblW w:w="13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685"/>
        <w:gridCol w:w="2418"/>
        <w:gridCol w:w="1136"/>
        <w:gridCol w:w="2517"/>
        <w:gridCol w:w="6139"/>
        <w:gridCol w:w="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820" w:hRule="atLeast"/>
        </w:trPr>
        <w:tc>
          <w:tcPr>
            <w:tcW w:w="685"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sz w:val="24"/>
                <w:szCs w:val="24"/>
              </w:rPr>
            </w:pPr>
            <w:r>
              <w:rPr>
                <w:rFonts w:hint="eastAsia" w:ascii="宋体" w:hAnsi="宋体" w:eastAsia="宋体" w:cs="宋体"/>
                <w:b/>
                <w:bCs/>
                <w:color w:val="000000"/>
                <w:sz w:val="24"/>
                <w:szCs w:val="24"/>
              </w:rPr>
              <w:t>序号</w:t>
            </w:r>
          </w:p>
        </w:tc>
        <w:tc>
          <w:tcPr>
            <w:tcW w:w="2418"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ind w:firstLine="0"/>
              <w:jc w:val="center"/>
              <w:textAlignment w:val="auto"/>
              <w:rPr>
                <w:rFonts w:hint="eastAsia" w:ascii="宋体" w:hAnsi="宋体" w:eastAsia="宋体" w:cs="宋体"/>
                <w:b/>
                <w:bCs/>
                <w:sz w:val="24"/>
                <w:szCs w:val="24"/>
              </w:rPr>
            </w:pPr>
            <w:r>
              <w:rPr>
                <w:rFonts w:hint="eastAsia" w:ascii="宋体" w:hAnsi="宋体" w:eastAsia="宋体" w:cs="宋体"/>
                <w:b/>
                <w:bCs/>
                <w:color w:val="000000"/>
                <w:sz w:val="24"/>
                <w:szCs w:val="24"/>
              </w:rPr>
              <w:t>行政强制事项</w:t>
            </w:r>
          </w:p>
        </w:tc>
        <w:tc>
          <w:tcPr>
            <w:tcW w:w="1136"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ind w:firstLine="0"/>
              <w:jc w:val="center"/>
              <w:textAlignment w:val="auto"/>
              <w:rPr>
                <w:rFonts w:hint="eastAsia" w:ascii="宋体" w:hAnsi="宋体" w:eastAsia="宋体" w:cs="宋体"/>
                <w:b/>
                <w:bCs/>
                <w:sz w:val="24"/>
                <w:szCs w:val="24"/>
              </w:rPr>
            </w:pPr>
            <w:r>
              <w:rPr>
                <w:rFonts w:hint="eastAsia" w:ascii="宋体" w:hAnsi="宋体" w:eastAsia="宋体" w:cs="宋体"/>
                <w:b/>
                <w:bCs/>
                <w:color w:val="000000"/>
                <w:sz w:val="24"/>
                <w:szCs w:val="24"/>
              </w:rPr>
              <w:t>实施机关</w:t>
            </w:r>
          </w:p>
        </w:tc>
        <w:tc>
          <w:tcPr>
            <w:tcW w:w="2517"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ind w:firstLine="0"/>
              <w:jc w:val="center"/>
              <w:textAlignment w:val="auto"/>
              <w:rPr>
                <w:rFonts w:hint="eastAsia" w:ascii="宋体" w:hAnsi="宋体" w:eastAsia="宋体" w:cs="宋体"/>
                <w:b/>
                <w:bCs/>
                <w:sz w:val="24"/>
                <w:szCs w:val="24"/>
              </w:rPr>
            </w:pPr>
            <w:r>
              <w:rPr>
                <w:rFonts w:hint="eastAsia" w:ascii="宋体" w:hAnsi="宋体" w:eastAsia="宋体" w:cs="宋体"/>
                <w:b/>
                <w:bCs/>
                <w:color w:val="000000"/>
                <w:sz w:val="24"/>
                <w:szCs w:val="24"/>
              </w:rPr>
              <w:t>免予行政强制适用条件</w:t>
            </w:r>
          </w:p>
        </w:tc>
        <w:tc>
          <w:tcPr>
            <w:tcW w:w="6139"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ind w:firstLine="0"/>
              <w:jc w:val="center"/>
              <w:textAlignment w:val="auto"/>
              <w:rPr>
                <w:rFonts w:hint="eastAsia" w:ascii="宋体" w:hAnsi="宋体" w:eastAsia="宋体" w:cs="宋体"/>
                <w:b/>
                <w:bCs/>
                <w:sz w:val="24"/>
                <w:szCs w:val="24"/>
              </w:rPr>
            </w:pPr>
            <w:r>
              <w:rPr>
                <w:rFonts w:hint="eastAsia" w:ascii="宋体" w:hAnsi="宋体" w:eastAsia="宋体" w:cs="宋体"/>
                <w:b/>
                <w:bCs/>
                <w:color w:val="000000"/>
                <w:sz w:val="24"/>
                <w:szCs w:val="24"/>
              </w:rPr>
              <w:t>法律依据</w:t>
            </w:r>
          </w:p>
        </w:tc>
        <w:tc>
          <w:tcPr>
            <w:tcW w:w="645" w:type="dxa"/>
            <w:noWrap w:val="0"/>
            <w:vAlign w:val="center"/>
          </w:tcPr>
          <w:p>
            <w:pPr>
              <w:keepNext w:val="0"/>
              <w:keepLines w:val="0"/>
              <w:pageBreakBefore w:val="0"/>
              <w:widowControl/>
              <w:kinsoku/>
              <w:wordWrap/>
              <w:overflowPunct/>
              <w:topLinePunct w:val="0"/>
              <w:autoSpaceDE/>
              <w:autoSpaceDN/>
              <w:bidi w:val="0"/>
              <w:adjustRightInd/>
              <w:snapToGrid/>
              <w:spacing w:line="20" w:lineRule="atLeast"/>
              <w:jc w:val="center"/>
              <w:textAlignment w:val="auto"/>
              <w:rPr>
                <w:rFonts w:hint="eastAsia" w:ascii="宋体" w:hAnsi="宋体" w:eastAsia="宋体" w:cs="宋体"/>
                <w:b/>
                <w:bCs/>
                <w:sz w:val="24"/>
                <w:szCs w:val="24"/>
              </w:rPr>
            </w:pPr>
            <w:r>
              <w:rPr>
                <w:rFonts w:hint="eastAsia" w:ascii="宋体" w:hAnsi="宋体" w:eastAsia="宋体" w:cs="宋体"/>
                <w:b/>
                <w:bCs/>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340" w:hRule="atLeast"/>
        </w:trPr>
        <w:tc>
          <w:tcPr>
            <w:tcW w:w="685" w:type="dxa"/>
            <w:noWrap w:val="0"/>
            <w:vAlign w:val="center"/>
          </w:tcPr>
          <w:p>
            <w:pPr>
              <w:spacing w:line="320" w:lineRule="exact"/>
              <w:jc w:val="center"/>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1</w:t>
            </w:r>
          </w:p>
        </w:tc>
        <w:tc>
          <w:tcPr>
            <w:tcW w:w="2418"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对查处违反林业监管领域法律、法规、规章违法行为实施的行政强制</w:t>
            </w:r>
          </w:p>
        </w:tc>
        <w:tc>
          <w:tcPr>
            <w:tcW w:w="1136"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lang w:eastAsia="zh-CN"/>
              </w:rPr>
              <w:t>县级以上</w:t>
            </w:r>
            <w:r>
              <w:rPr>
                <w:rFonts w:hint="eastAsia" w:ascii="仿宋_GB2312" w:hAnsi="微软雅黑" w:eastAsia="仿宋_GB2312" w:cs="Times New Roman"/>
                <w:color w:val="000000"/>
                <w:szCs w:val="21"/>
                <w:shd w:val="clear" w:color="auto" w:fill="FFFFFF"/>
              </w:rPr>
              <w:t>林业主管部门</w:t>
            </w:r>
          </w:p>
        </w:tc>
        <w:tc>
          <w:tcPr>
            <w:tcW w:w="2517"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1．采用非强制性手段能够达到行政管理目的的；</w:t>
            </w:r>
          </w:p>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2．违法行为情节轻微或者社会危害较小的。</w:t>
            </w:r>
          </w:p>
        </w:tc>
        <w:tc>
          <w:tcPr>
            <w:tcW w:w="6139" w:type="dxa"/>
            <w:noWrap w:val="0"/>
            <w:vAlign w:val="center"/>
          </w:tcPr>
          <w:p>
            <w:pPr>
              <w:spacing w:line="320" w:lineRule="exact"/>
              <w:rPr>
                <w:rFonts w:hint="eastAsia" w:ascii="仿宋_GB2312" w:hAnsi="微软雅黑" w:eastAsia="仿宋_GB2312" w:cs="Times New Roman"/>
                <w:color w:val="000000"/>
                <w:szCs w:val="21"/>
                <w:shd w:val="clear" w:color="auto" w:fill="FFFFFF"/>
              </w:rPr>
            </w:pPr>
            <w:r>
              <w:rPr>
                <w:rFonts w:hint="eastAsia" w:ascii="仿宋_GB2312" w:hAnsi="微软雅黑" w:eastAsia="仿宋_GB2312" w:cs="Times New Roman"/>
                <w:color w:val="000000"/>
                <w:szCs w:val="21"/>
                <w:shd w:val="clear" w:color="auto" w:fill="FFFFFF"/>
              </w:rPr>
              <w:t>《优化营商环境条例》第五十九条</w:t>
            </w:r>
            <w:r>
              <w:rPr>
                <w:rFonts w:hint="eastAsia" w:ascii="仿宋_GB2312" w:hAnsi="微软雅黑" w:eastAsia="仿宋_GB2312" w:cs="Times New Roman"/>
                <w:color w:val="000000"/>
                <w:szCs w:val="21"/>
                <w:shd w:val="clear" w:color="auto" w:fill="FFFFFF"/>
                <w:lang w:eastAsia="zh-CN"/>
              </w:rPr>
              <w:t>：</w:t>
            </w:r>
            <w:r>
              <w:rPr>
                <w:rFonts w:hint="eastAsia" w:ascii="仿宋_GB2312" w:hAnsi="微软雅黑" w:eastAsia="仿宋_GB2312" w:cs="Times New Roman"/>
                <w:color w:val="000000"/>
                <w:szCs w:val="21"/>
                <w:shd w:val="clear" w:color="auto" w:fill="FFFFFF"/>
              </w:rPr>
              <w:t>行政执法中应当推广运用说服教育、劝导示范、行政指导等非强制性手段，依法慎重实施行政强制。采用非强制性手段能够达到行政管理目的的，不得实施行政强制；违法行为情节轻微或者社会危害较小的，可以不实施行政强制；确需实施行政强制的，应当尽可能减少对市场主体正常生产经营活动的影响。</w:t>
            </w:r>
          </w:p>
        </w:tc>
        <w:tc>
          <w:tcPr>
            <w:tcW w:w="645" w:type="dxa"/>
            <w:noWrap w:val="0"/>
            <w:vAlign w:val="center"/>
          </w:tcPr>
          <w:p>
            <w:pPr>
              <w:spacing w:line="320" w:lineRule="exact"/>
              <w:rPr>
                <w:rFonts w:hint="eastAsia" w:ascii="仿宋_GB2312" w:hAnsi="微软雅黑" w:eastAsia="仿宋_GB2312" w:cs="Times New Roman"/>
                <w:color w:val="000000"/>
                <w:szCs w:val="21"/>
                <w:shd w:val="clear" w:color="auto" w:fill="FFFFFF"/>
              </w:rPr>
            </w:pPr>
          </w:p>
        </w:tc>
      </w:tr>
    </w:tbl>
    <w:p>
      <w:pPr>
        <w:spacing w:line="1" w:lineRule="exact"/>
      </w:pPr>
      <w:r>
        <mc:AlternateContent>
          <mc:Choice Requires="wps">
            <w:drawing>
              <wp:anchor distT="0" distB="0" distL="114300" distR="114300" simplePos="0" relativeHeight="251660288" behindDoc="0" locked="0" layoutInCell="1" allowOverlap="1">
                <wp:simplePos x="0" y="0"/>
                <wp:positionH relativeFrom="page">
                  <wp:posOffset>9144000</wp:posOffset>
                </wp:positionH>
                <wp:positionV relativeFrom="paragraph">
                  <wp:posOffset>5422900</wp:posOffset>
                </wp:positionV>
                <wp:extent cx="1041400" cy="190500"/>
                <wp:effectExtent l="0" t="0" r="0" b="0"/>
                <wp:wrapNone/>
                <wp:docPr id="51" name="文本框 2"/>
                <wp:cNvGraphicFramePr/>
                <a:graphic xmlns:a="http://schemas.openxmlformats.org/drawingml/2006/main">
                  <a:graphicData uri="http://schemas.microsoft.com/office/word/2010/wordprocessingShape">
                    <wps:wsp>
                      <wps:cNvSpPr txBox="true"/>
                      <wps:spPr>
                        <a:xfrm>
                          <a:off x="1601470" y="2139315"/>
                          <a:ext cx="2132965" cy="3376295"/>
                        </a:xfrm>
                        <a:prstGeom prst="rect">
                          <a:avLst/>
                        </a:prstGeom>
                        <a:noFill/>
                        <a:ln w="6350">
                          <a:noFill/>
                        </a:ln>
                        <a:effectLst/>
                      </wps:spPr>
                      <wps:txbx>
                        <w:txbxContent>
                          <w:p>
                            <w:pPr>
                              <w:spacing w:line="360" w:lineRule="exact"/>
                              <w:jc w:val="center"/>
                            </w:pPr>
                            <w:r>
                              <w:rPr>
                                <w:rFonts w:hint="eastAsia" w:ascii="Arial" w:hAnsi="Arial" w:eastAsia="Arial"/>
                                <w:color w:val="000000"/>
                                <w:sz w:val="24"/>
                              </w:rPr>
                              <w:t>-21-</w:t>
                            </w:r>
                          </w:p>
                        </w:txbxContent>
                      </wps:txbx>
                      <wps:bodyPr vert="horz" wrap="square" lIns="25400" tIns="0" rIns="25400" bIns="0" anchor="t" anchorCtr="false">
                        <a:noAutofit/>
                      </wps:bodyPr>
                    </wps:wsp>
                  </a:graphicData>
                </a:graphic>
              </wp:anchor>
            </w:drawing>
          </mc:Choice>
          <mc:Fallback>
            <w:pict>
              <v:shape id="文本框 2" o:spid="_x0000_s1026" o:spt="202" type="#_x0000_t202" style="position:absolute;left:0pt;margin-left:720pt;margin-top:427pt;height:15pt;width:82pt;mso-position-horizontal-relative:page;z-index:251660288;mso-width-relative:page;mso-height-relative:page;" filled="f" stroked="f" coordsize="21600,21600" o:gfxdata="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MOfO+/YAAAADQEAAA8AAAAAAAAAAQAgAAAAOAAAAGRycy9kb3du&#10;cmV2LnhtbFBLAQIUABQAAAAIAIdO4kBxcmJI6QEAAJkDAAAOAAAAAAAAAAEAIAAAAD0BAABkcnMv&#10;ZTJvRG9jLnhtbFBLBQYAAAAABgAGAFkBAACYBQAAAAA=&#10;">
                <v:fill on="f" focussize="0,0"/>
                <v:stroke on="f" weight="0.5pt"/>
                <v:imagedata o:title=""/>
                <o:lock v:ext="edit" aspectratio="f"/>
                <v:textbox inset="2pt,0mm,2pt,0mm">
                  <w:txbxContent>
                    <w:p>
                      <w:pPr>
                        <w:spacing w:line="360" w:lineRule="exact"/>
                        <w:jc w:val="center"/>
                      </w:pPr>
                      <w:r>
                        <w:rPr>
                          <w:rFonts w:hint="eastAsia" w:ascii="Arial" w:hAnsi="Arial" w:eastAsia="Arial"/>
                          <w:color w:val="000000"/>
                          <w:sz w:val="24"/>
                        </w:rPr>
                        <w:t>-21-</w:t>
                      </w:r>
                    </w:p>
                  </w:txbxContent>
                </v:textbox>
              </v:shape>
            </w:pict>
          </mc:Fallback>
        </mc:AlternateContent>
      </w:r>
    </w:p>
    <w:p>
      <w:pPr>
        <w:bidi w:val="0"/>
        <w:rPr>
          <w:color w:val="000000"/>
          <w:kern w:val="2"/>
          <w:sz w:val="21"/>
          <w:lang w:val="en-US" w:eastAsia="zh-CN" w:bidi="ar-SA"/>
        </w:rPr>
      </w:pPr>
    </w:p>
    <w:p>
      <w:pPr>
        <w:bidi w:val="0"/>
        <w:rPr>
          <w:lang w:val="en-US" w:eastAsia="zh-CN"/>
        </w:rPr>
      </w:pPr>
    </w:p>
    <w:p>
      <w:pPr>
        <w:bidi w:val="0"/>
        <w:rPr>
          <w:lang w:val="en-US" w:eastAsia="zh-CN"/>
        </w:rPr>
      </w:pPr>
    </w:p>
    <w:p>
      <w:pPr>
        <w:bidi w:val="0"/>
        <w:rPr>
          <w:lang w:val="en-US" w:eastAsia="zh-CN"/>
        </w:rPr>
      </w:pPr>
    </w:p>
    <w:p>
      <w:pPr>
        <w:adjustRightInd w:val="0"/>
        <w:snapToGrid w:val="0"/>
        <w:spacing w:line="400" w:lineRule="atLeast"/>
        <w:rPr>
          <w:rFonts w:hint="eastAsia" w:eastAsia="宋体"/>
          <w:lang w:val="en-US" w:eastAsia="zh-CN"/>
        </w:rPr>
      </w:pPr>
    </w:p>
    <w:sectPr>
      <w:headerReference r:id="rId9" w:type="default"/>
      <w:footerReference r:id="rId10" w:type="default"/>
      <w:pgSz w:w="16838" w:h="11906" w:orient="landscape"/>
      <w:pgMar w:top="1400" w:right="1440" w:bottom="1400" w:left="1418"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Microsoft YaHei">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rPr>
                              <w:rStyle w:val="10"/>
                              <w:sz w:val="20"/>
                              <w:szCs w:val="20"/>
                            </w:rPr>
                          </w:pPr>
                          <w:r>
                            <w:rPr>
                              <w:rStyle w:val="10"/>
                              <w:sz w:val="20"/>
                              <w:szCs w:val="20"/>
                            </w:rPr>
                            <w:t xml:space="preserve">— </w:t>
                          </w:r>
                          <w:r>
                            <w:rPr>
                              <w:rStyle w:val="10"/>
                              <w:sz w:val="20"/>
                              <w:szCs w:val="20"/>
                            </w:rPr>
                            <w:fldChar w:fldCharType="begin"/>
                          </w:r>
                          <w:r>
                            <w:rPr>
                              <w:rStyle w:val="10"/>
                              <w:sz w:val="20"/>
                              <w:szCs w:val="20"/>
                            </w:rPr>
                            <w:instrText xml:space="preserve"> PAGE  \* MERGEFORMAT </w:instrText>
                          </w:r>
                          <w:r>
                            <w:rPr>
                              <w:rStyle w:val="10"/>
                              <w:sz w:val="20"/>
                              <w:szCs w:val="20"/>
                            </w:rPr>
                            <w:fldChar w:fldCharType="separate"/>
                          </w:r>
                          <w:r>
                            <w:rPr>
                              <w:rStyle w:val="10"/>
                              <w:sz w:val="20"/>
                              <w:szCs w:val="20"/>
                            </w:rPr>
                            <w:t>2</w:t>
                          </w:r>
                          <w:r>
                            <w:rPr>
                              <w:rStyle w:val="10"/>
                              <w:sz w:val="20"/>
                              <w:szCs w:val="20"/>
                            </w:rPr>
                            <w:fldChar w:fldCharType="end"/>
                          </w:r>
                          <w:r>
                            <w:rPr>
                              <w:rStyle w:val="10"/>
                              <w:sz w:val="20"/>
                              <w:szCs w:val="20"/>
                            </w:rPr>
                            <w:t xml:space="preserve"> —</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5"/>
                      <w:rPr>
                        <w:rStyle w:val="10"/>
                        <w:sz w:val="20"/>
                        <w:szCs w:val="20"/>
                      </w:rPr>
                    </w:pPr>
                    <w:r>
                      <w:rPr>
                        <w:rStyle w:val="10"/>
                        <w:sz w:val="20"/>
                        <w:szCs w:val="20"/>
                      </w:rPr>
                      <w:t xml:space="preserve">— </w:t>
                    </w:r>
                    <w:r>
                      <w:rPr>
                        <w:rStyle w:val="10"/>
                        <w:sz w:val="20"/>
                        <w:szCs w:val="20"/>
                      </w:rPr>
                      <w:fldChar w:fldCharType="begin"/>
                    </w:r>
                    <w:r>
                      <w:rPr>
                        <w:rStyle w:val="10"/>
                        <w:sz w:val="20"/>
                        <w:szCs w:val="20"/>
                      </w:rPr>
                      <w:instrText xml:space="preserve"> PAGE  \* MERGEFORMAT </w:instrText>
                    </w:r>
                    <w:r>
                      <w:rPr>
                        <w:rStyle w:val="10"/>
                        <w:sz w:val="20"/>
                        <w:szCs w:val="20"/>
                      </w:rPr>
                      <w:fldChar w:fldCharType="separate"/>
                    </w:r>
                    <w:r>
                      <w:rPr>
                        <w:rStyle w:val="10"/>
                        <w:sz w:val="20"/>
                        <w:szCs w:val="20"/>
                      </w:rPr>
                      <w:t>2</w:t>
                    </w:r>
                    <w:r>
                      <w:rPr>
                        <w:rStyle w:val="10"/>
                        <w:sz w:val="20"/>
                        <w:szCs w:val="20"/>
                      </w:rPr>
                      <w:fldChar w:fldCharType="end"/>
                    </w:r>
                    <w:r>
                      <w:rPr>
                        <w:rStyle w:val="10"/>
                        <w:sz w:val="20"/>
                        <w:szCs w:val="20"/>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hr2L58kBAAB7AwAADgAAAAAA&#10;AAABACAAAAA0AQAAZHJzL2Uyb0RvYy54bWxQSwUGAAAAAAYABgBZAQAAbwUAAAAA&#10;">
              <v:fill on="f" focussize="0,0"/>
              <v:stroke on="f"/>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40" w:lineRule="exact"/>
      <w:jc w:val="both"/>
      <w:rPr>
        <w:b/>
        <w:bCs/>
      </w:rPr>
    </w:pPr>
    <w:r>
      <w:rPr>
        <w:b/>
        <w:bCs/>
        <w:sz w:val="22"/>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pPr>
                          <w:r>
                            <w:t xml:space="preserve">— </w:t>
                          </w:r>
                          <w:r>
                            <w:fldChar w:fldCharType="begin"/>
                          </w:r>
                          <w:r>
                            <w:instrText xml:space="preserve"> PAGE  \* MERGEFORMAT </w:instrText>
                          </w:r>
                          <w:r>
                            <w:fldChar w:fldCharType="separate"/>
                          </w:r>
                          <w:r>
                            <w:t>5</w:t>
                          </w:r>
                          <w:r>
                            <w:fldChar w:fldCharType="end"/>
                          </w:r>
                          <w:r>
                            <w:t xml:space="preserve"> —</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NgtKEskBAAB7AwAADgAAAAAA&#10;AAABACAAAAA0AQAAZHJzL2Uyb0RvYy54bWxQSwUGAAAAAAYABgBZAQAAbwUAAAAA&#10;">
              <v:fill on="f" focussize="0,0"/>
              <v:stroke on="f"/>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5</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40" w:lineRule="exact"/>
      <w:jc w:val="center"/>
    </w:pPr>
    <w:r>
      <w:rPr>
        <w:sz w:val="2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fYB3cMkBAAB7AwAADgAAAAAA&#10;AAABACAAAAA0AQAAZHJzL2Uyb0RvYy54bWxQSwUGAAAAAAYABgBZAQAAbwUAAAAA&#10;">
              <v:fill on="f" focussize="0,0"/>
              <v:stroke on="f"/>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r>
      <w:rPr>
        <w:rFonts w:hint="eastAsia" w:ascii="Arial" w:hAnsi="Arial" w:eastAsia="Arial"/>
        <w:color w:val="000000"/>
        <w:sz w:val="22"/>
      </w:rPr>
      <w:t>-15-</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40" w:lineRule="exact"/>
      <w:jc w:val="center"/>
    </w:pPr>
    <w:r>
      <w:rPr>
        <w:sz w:val="22"/>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pPr>
                          <w:r>
                            <w:t xml:space="preserve">— </w:t>
                          </w:r>
                          <w:r>
                            <w:fldChar w:fldCharType="begin"/>
                          </w:r>
                          <w:r>
                            <w:instrText xml:space="preserve"> PAGE  \* MERGEFORMAT </w:instrText>
                          </w:r>
                          <w:r>
                            <w:fldChar w:fldCharType="separate"/>
                          </w:r>
                          <w:r>
                            <w:t>30</w:t>
                          </w:r>
                          <w:r>
                            <w:fldChar w:fldCharType="end"/>
                          </w:r>
                          <w:r>
                            <w:t xml:space="preserve"> —</w:t>
                          </w:r>
                        </w:p>
                      </w:txbxContent>
                    </wps:txbx>
                    <wps:bodyPr vert="horz" wrap="none" lIns="0" tIns="0" rIns="0" bIns="0" anchor="t" anchorCtr="false" upright="false">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Nj7PdMkBAAB7AwAADgAAAAAA&#10;AAABACAAAAA0AQAAZHJzL2Uyb0RvYy54bWxQSwUGAAAAAAYABgBZAQAAbwUAAAAA&#10;">
              <v:fill on="f" focussize="0,0"/>
              <v:stroke on="f"/>
              <v:imagedata o:title=""/>
              <o:lock v:ext="edit" aspectratio="f"/>
              <v:textbox inset="0mm,0mm,0mm,0mm" style="mso-fit-shape-to-text:t;">
                <w:txbxContent>
                  <w:p>
                    <w:pPr>
                      <w:pStyle w:val="5"/>
                    </w:pPr>
                    <w:r>
                      <w:t xml:space="preserve">— </w:t>
                    </w:r>
                    <w:r>
                      <w:fldChar w:fldCharType="begin"/>
                    </w:r>
                    <w:r>
                      <w:instrText xml:space="preserve"> PAGE  \* MERGEFORMAT </w:instrText>
                    </w:r>
                    <w:r>
                      <w:fldChar w:fldCharType="separate"/>
                    </w:r>
                    <w:r>
                      <w:t>30</w:t>
                    </w:r>
                    <w:r>
                      <w:fldChar w:fldCharType="end"/>
                    </w:r>
                    <w: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rPr>
                              <w:rStyle w:val="10"/>
                            </w:rPr>
                          </w:pPr>
                          <w:r>
                            <w:rPr>
                              <w:rStyle w:val="10"/>
                            </w:rPr>
                            <w:t xml:space="preserve">— </w:t>
                          </w:r>
                          <w:r>
                            <w:rPr>
                              <w:rStyle w:val="10"/>
                            </w:rPr>
                            <w:fldChar w:fldCharType="begin"/>
                          </w:r>
                          <w:r>
                            <w:rPr>
                              <w:rStyle w:val="10"/>
                            </w:rPr>
                            <w:instrText xml:space="preserve"> PAGE  \* MERGEFORMAT </w:instrText>
                          </w:r>
                          <w:r>
                            <w:rPr>
                              <w:rStyle w:val="10"/>
                            </w:rPr>
                            <w:fldChar w:fldCharType="separate"/>
                          </w:r>
                          <w:r>
                            <w:rPr>
                              <w:rStyle w:val="10"/>
                            </w:rPr>
                            <w:t>1</w:t>
                          </w:r>
                          <w:r>
                            <w:rPr>
                              <w:rStyle w:val="10"/>
                            </w:rPr>
                            <w:fldChar w:fldCharType="end"/>
                          </w:r>
                          <w:r>
                            <w:rPr>
                              <w:rStyle w:val="10"/>
                            </w:rPr>
                            <w:t xml:space="preserve"> —</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DNNraFyAEAAHsDAAAOAAAAAAAA&#10;AAEAIAAAADQBAABkcnMvZTJvRG9jLnhtbFBLBQYAAAAABgAGAFkBAABuBQAAAAA=&#10;">
              <v:fill on="f" focussize="0,0"/>
              <v:stroke on="f"/>
              <v:imagedata o:title=""/>
              <o:lock v:ext="edit" aspectratio="f"/>
              <v:textbox inset="0mm,0mm,0mm,0mm" style="mso-fit-shape-to-text:t;">
                <w:txbxContent>
                  <w:p>
                    <w:pPr>
                      <w:pStyle w:val="5"/>
                      <w:rPr>
                        <w:rStyle w:val="10"/>
                      </w:rPr>
                    </w:pPr>
                    <w:r>
                      <w:rPr>
                        <w:rStyle w:val="10"/>
                      </w:rPr>
                      <w:t xml:space="preserve">— </w:t>
                    </w:r>
                    <w:r>
                      <w:rPr>
                        <w:rStyle w:val="10"/>
                      </w:rPr>
                      <w:fldChar w:fldCharType="begin"/>
                    </w:r>
                    <w:r>
                      <w:rPr>
                        <w:rStyle w:val="10"/>
                      </w:rPr>
                      <w:instrText xml:space="preserve"> PAGE  \* MERGEFORMAT </w:instrText>
                    </w:r>
                    <w:r>
                      <w:rPr>
                        <w:rStyle w:val="10"/>
                      </w:rPr>
                      <w:fldChar w:fldCharType="separate"/>
                    </w:r>
                    <w:r>
                      <w:rPr>
                        <w:rStyle w:val="10"/>
                      </w:rPr>
                      <w:t>1</w:t>
                    </w:r>
                    <w:r>
                      <w:rPr>
                        <w:rStyle w:val="10"/>
                      </w:rPr>
                      <w:fldChar w:fldCharType="end"/>
                    </w:r>
                    <w:r>
                      <w:rPr>
                        <w:rStyle w:val="10"/>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428"/>
    <w:rsid w:val="0000497D"/>
    <w:rsid w:val="0000767F"/>
    <w:rsid w:val="0001330B"/>
    <w:rsid w:val="00015D2F"/>
    <w:rsid w:val="00022864"/>
    <w:rsid w:val="0002340E"/>
    <w:rsid w:val="0003017B"/>
    <w:rsid w:val="00030566"/>
    <w:rsid w:val="00031FC6"/>
    <w:rsid w:val="00037956"/>
    <w:rsid w:val="0004414F"/>
    <w:rsid w:val="00044BF8"/>
    <w:rsid w:val="000501E4"/>
    <w:rsid w:val="00051272"/>
    <w:rsid w:val="00057896"/>
    <w:rsid w:val="000629F8"/>
    <w:rsid w:val="00063C55"/>
    <w:rsid w:val="00077228"/>
    <w:rsid w:val="00080C07"/>
    <w:rsid w:val="00084607"/>
    <w:rsid w:val="000855F9"/>
    <w:rsid w:val="00091BE1"/>
    <w:rsid w:val="000A1517"/>
    <w:rsid w:val="000A21EC"/>
    <w:rsid w:val="000A67D4"/>
    <w:rsid w:val="000B2F9B"/>
    <w:rsid w:val="000C0054"/>
    <w:rsid w:val="000C1B6F"/>
    <w:rsid w:val="000C27CE"/>
    <w:rsid w:val="000C2A37"/>
    <w:rsid w:val="000C48AD"/>
    <w:rsid w:val="000C4D56"/>
    <w:rsid w:val="000C4DFE"/>
    <w:rsid w:val="000D4EEB"/>
    <w:rsid w:val="000D6A8B"/>
    <w:rsid w:val="000E3534"/>
    <w:rsid w:val="000F03CA"/>
    <w:rsid w:val="000F464E"/>
    <w:rsid w:val="00113C39"/>
    <w:rsid w:val="00125F23"/>
    <w:rsid w:val="001314A2"/>
    <w:rsid w:val="001339CF"/>
    <w:rsid w:val="0013412B"/>
    <w:rsid w:val="001470D4"/>
    <w:rsid w:val="001542EB"/>
    <w:rsid w:val="00154A50"/>
    <w:rsid w:val="00155E2B"/>
    <w:rsid w:val="0016280A"/>
    <w:rsid w:val="00163827"/>
    <w:rsid w:val="00172748"/>
    <w:rsid w:val="00174597"/>
    <w:rsid w:val="001779E1"/>
    <w:rsid w:val="00197A2B"/>
    <w:rsid w:val="001A73B5"/>
    <w:rsid w:val="001B5B82"/>
    <w:rsid w:val="001C0C4B"/>
    <w:rsid w:val="001C14D5"/>
    <w:rsid w:val="001C4C61"/>
    <w:rsid w:val="001D1520"/>
    <w:rsid w:val="001D4243"/>
    <w:rsid w:val="001E0F00"/>
    <w:rsid w:val="001E2C66"/>
    <w:rsid w:val="001E3070"/>
    <w:rsid w:val="002058A6"/>
    <w:rsid w:val="00206D71"/>
    <w:rsid w:val="002106DC"/>
    <w:rsid w:val="00211144"/>
    <w:rsid w:val="00211768"/>
    <w:rsid w:val="002126A2"/>
    <w:rsid w:val="00213DED"/>
    <w:rsid w:val="00214187"/>
    <w:rsid w:val="00215B83"/>
    <w:rsid w:val="00220D42"/>
    <w:rsid w:val="00223AAB"/>
    <w:rsid w:val="00225D3F"/>
    <w:rsid w:val="002279AC"/>
    <w:rsid w:val="00230079"/>
    <w:rsid w:val="00230249"/>
    <w:rsid w:val="00235445"/>
    <w:rsid w:val="002374DC"/>
    <w:rsid w:val="00237E58"/>
    <w:rsid w:val="0024278D"/>
    <w:rsid w:val="00246466"/>
    <w:rsid w:val="00246935"/>
    <w:rsid w:val="00250EE3"/>
    <w:rsid w:val="00255A84"/>
    <w:rsid w:val="00256739"/>
    <w:rsid w:val="00257F1F"/>
    <w:rsid w:val="002620B5"/>
    <w:rsid w:val="00266A1F"/>
    <w:rsid w:val="00270F0A"/>
    <w:rsid w:val="0028320A"/>
    <w:rsid w:val="002909E1"/>
    <w:rsid w:val="002A49C1"/>
    <w:rsid w:val="002B6787"/>
    <w:rsid w:val="002E2F12"/>
    <w:rsid w:val="002F1122"/>
    <w:rsid w:val="002F41C8"/>
    <w:rsid w:val="00300E26"/>
    <w:rsid w:val="0030568E"/>
    <w:rsid w:val="0031045E"/>
    <w:rsid w:val="003115C2"/>
    <w:rsid w:val="00313F1F"/>
    <w:rsid w:val="00315A1D"/>
    <w:rsid w:val="00317F65"/>
    <w:rsid w:val="0032293D"/>
    <w:rsid w:val="00326CFB"/>
    <w:rsid w:val="00330F9F"/>
    <w:rsid w:val="00336CC2"/>
    <w:rsid w:val="00351439"/>
    <w:rsid w:val="003604A7"/>
    <w:rsid w:val="00367DA3"/>
    <w:rsid w:val="00372339"/>
    <w:rsid w:val="00381B1D"/>
    <w:rsid w:val="003844D6"/>
    <w:rsid w:val="003919AD"/>
    <w:rsid w:val="00396785"/>
    <w:rsid w:val="00396BB8"/>
    <w:rsid w:val="00396FDF"/>
    <w:rsid w:val="0039708C"/>
    <w:rsid w:val="003A0242"/>
    <w:rsid w:val="003A0AF2"/>
    <w:rsid w:val="003A731E"/>
    <w:rsid w:val="003B0474"/>
    <w:rsid w:val="003B4F99"/>
    <w:rsid w:val="003B5DF1"/>
    <w:rsid w:val="003C0837"/>
    <w:rsid w:val="003C455B"/>
    <w:rsid w:val="003D7428"/>
    <w:rsid w:val="003E0D1E"/>
    <w:rsid w:val="003E2692"/>
    <w:rsid w:val="003E665F"/>
    <w:rsid w:val="003E66EB"/>
    <w:rsid w:val="003F611D"/>
    <w:rsid w:val="00405A67"/>
    <w:rsid w:val="00411154"/>
    <w:rsid w:val="004123A7"/>
    <w:rsid w:val="0042222E"/>
    <w:rsid w:val="004251E1"/>
    <w:rsid w:val="00430573"/>
    <w:rsid w:val="0043057A"/>
    <w:rsid w:val="00431D1C"/>
    <w:rsid w:val="004374D0"/>
    <w:rsid w:val="0043758A"/>
    <w:rsid w:val="00445DF4"/>
    <w:rsid w:val="00447FE9"/>
    <w:rsid w:val="00451AC6"/>
    <w:rsid w:val="004668D2"/>
    <w:rsid w:val="00473359"/>
    <w:rsid w:val="00475498"/>
    <w:rsid w:val="00482D7E"/>
    <w:rsid w:val="00485C0E"/>
    <w:rsid w:val="004904AF"/>
    <w:rsid w:val="00491C97"/>
    <w:rsid w:val="004A1063"/>
    <w:rsid w:val="004A37AF"/>
    <w:rsid w:val="004A6749"/>
    <w:rsid w:val="004B7CFC"/>
    <w:rsid w:val="004C139F"/>
    <w:rsid w:val="004C1AF3"/>
    <w:rsid w:val="004C2A6C"/>
    <w:rsid w:val="004C69CA"/>
    <w:rsid w:val="004D2316"/>
    <w:rsid w:val="004D41D5"/>
    <w:rsid w:val="004D6E2F"/>
    <w:rsid w:val="004E57AB"/>
    <w:rsid w:val="004F1AC9"/>
    <w:rsid w:val="004F436C"/>
    <w:rsid w:val="00506F55"/>
    <w:rsid w:val="00510BAE"/>
    <w:rsid w:val="00511139"/>
    <w:rsid w:val="00524674"/>
    <w:rsid w:val="005346A0"/>
    <w:rsid w:val="00534D25"/>
    <w:rsid w:val="00541CC0"/>
    <w:rsid w:val="005442CC"/>
    <w:rsid w:val="00544ADD"/>
    <w:rsid w:val="00545344"/>
    <w:rsid w:val="0054621A"/>
    <w:rsid w:val="00550D75"/>
    <w:rsid w:val="00555C30"/>
    <w:rsid w:val="0056699A"/>
    <w:rsid w:val="00570DF7"/>
    <w:rsid w:val="00573281"/>
    <w:rsid w:val="00573D47"/>
    <w:rsid w:val="005755F0"/>
    <w:rsid w:val="00585D61"/>
    <w:rsid w:val="005B6480"/>
    <w:rsid w:val="005B6AD8"/>
    <w:rsid w:val="005C58A2"/>
    <w:rsid w:val="005D271C"/>
    <w:rsid w:val="005D3FDD"/>
    <w:rsid w:val="005D448E"/>
    <w:rsid w:val="005D5FBD"/>
    <w:rsid w:val="005E25C3"/>
    <w:rsid w:val="005E3677"/>
    <w:rsid w:val="005E3DE4"/>
    <w:rsid w:val="005E481E"/>
    <w:rsid w:val="005E4A14"/>
    <w:rsid w:val="005E5344"/>
    <w:rsid w:val="005E7909"/>
    <w:rsid w:val="005F0F26"/>
    <w:rsid w:val="005F752D"/>
    <w:rsid w:val="0060042F"/>
    <w:rsid w:val="006018F5"/>
    <w:rsid w:val="00612713"/>
    <w:rsid w:val="006133FC"/>
    <w:rsid w:val="00620493"/>
    <w:rsid w:val="00633208"/>
    <w:rsid w:val="00633538"/>
    <w:rsid w:val="006368F7"/>
    <w:rsid w:val="00637806"/>
    <w:rsid w:val="0064438B"/>
    <w:rsid w:val="00646016"/>
    <w:rsid w:val="006460C5"/>
    <w:rsid w:val="00647DCE"/>
    <w:rsid w:val="006715BE"/>
    <w:rsid w:val="00673C90"/>
    <w:rsid w:val="00675628"/>
    <w:rsid w:val="006812A5"/>
    <w:rsid w:val="006858E7"/>
    <w:rsid w:val="00685A39"/>
    <w:rsid w:val="00690FF3"/>
    <w:rsid w:val="00694184"/>
    <w:rsid w:val="00695B21"/>
    <w:rsid w:val="006A5CC5"/>
    <w:rsid w:val="006B3A99"/>
    <w:rsid w:val="006B3C3D"/>
    <w:rsid w:val="006B3E7F"/>
    <w:rsid w:val="006B62DA"/>
    <w:rsid w:val="006B6BC0"/>
    <w:rsid w:val="006B7A9F"/>
    <w:rsid w:val="006C7749"/>
    <w:rsid w:val="006F2BA6"/>
    <w:rsid w:val="006F4F79"/>
    <w:rsid w:val="006F54B8"/>
    <w:rsid w:val="006F7DD8"/>
    <w:rsid w:val="00713E0B"/>
    <w:rsid w:val="0071681E"/>
    <w:rsid w:val="00716AEB"/>
    <w:rsid w:val="00721AF1"/>
    <w:rsid w:val="007226C7"/>
    <w:rsid w:val="00723D15"/>
    <w:rsid w:val="00726B96"/>
    <w:rsid w:val="00733766"/>
    <w:rsid w:val="0074178D"/>
    <w:rsid w:val="00744514"/>
    <w:rsid w:val="00752C44"/>
    <w:rsid w:val="00760F1F"/>
    <w:rsid w:val="00761A8E"/>
    <w:rsid w:val="0076777F"/>
    <w:rsid w:val="00770001"/>
    <w:rsid w:val="0077135E"/>
    <w:rsid w:val="00775084"/>
    <w:rsid w:val="00783DBC"/>
    <w:rsid w:val="007861E0"/>
    <w:rsid w:val="00790859"/>
    <w:rsid w:val="00792DA1"/>
    <w:rsid w:val="00795339"/>
    <w:rsid w:val="007A35D2"/>
    <w:rsid w:val="007A7754"/>
    <w:rsid w:val="007B0855"/>
    <w:rsid w:val="007B2798"/>
    <w:rsid w:val="007D2297"/>
    <w:rsid w:val="007D483B"/>
    <w:rsid w:val="007D6C9D"/>
    <w:rsid w:val="007D6CC0"/>
    <w:rsid w:val="007E1086"/>
    <w:rsid w:val="007E2ED7"/>
    <w:rsid w:val="007E60F0"/>
    <w:rsid w:val="007F0AE2"/>
    <w:rsid w:val="007F2DA7"/>
    <w:rsid w:val="0081057E"/>
    <w:rsid w:val="00812B81"/>
    <w:rsid w:val="00817180"/>
    <w:rsid w:val="00824999"/>
    <w:rsid w:val="00825DFB"/>
    <w:rsid w:val="00825FC0"/>
    <w:rsid w:val="00830405"/>
    <w:rsid w:val="00832ACB"/>
    <w:rsid w:val="00840666"/>
    <w:rsid w:val="008422A3"/>
    <w:rsid w:val="008436B4"/>
    <w:rsid w:val="0084410C"/>
    <w:rsid w:val="008473F6"/>
    <w:rsid w:val="0085532B"/>
    <w:rsid w:val="008649B4"/>
    <w:rsid w:val="00881DEF"/>
    <w:rsid w:val="00882E52"/>
    <w:rsid w:val="00886F26"/>
    <w:rsid w:val="00890527"/>
    <w:rsid w:val="008921E1"/>
    <w:rsid w:val="00894861"/>
    <w:rsid w:val="00894A21"/>
    <w:rsid w:val="00894D61"/>
    <w:rsid w:val="00895DF7"/>
    <w:rsid w:val="008961EF"/>
    <w:rsid w:val="008A47A0"/>
    <w:rsid w:val="008A650D"/>
    <w:rsid w:val="008B7A69"/>
    <w:rsid w:val="008C2557"/>
    <w:rsid w:val="008C3AFE"/>
    <w:rsid w:val="008C5A75"/>
    <w:rsid w:val="008C64CA"/>
    <w:rsid w:val="008D066D"/>
    <w:rsid w:val="008D17B7"/>
    <w:rsid w:val="008D3A3B"/>
    <w:rsid w:val="008D5B37"/>
    <w:rsid w:val="008E3774"/>
    <w:rsid w:val="008E37E6"/>
    <w:rsid w:val="008E7122"/>
    <w:rsid w:val="008F22DB"/>
    <w:rsid w:val="008F3B64"/>
    <w:rsid w:val="00910621"/>
    <w:rsid w:val="00913049"/>
    <w:rsid w:val="009148CB"/>
    <w:rsid w:val="00915AF1"/>
    <w:rsid w:val="00916849"/>
    <w:rsid w:val="00917937"/>
    <w:rsid w:val="00923451"/>
    <w:rsid w:val="00923B33"/>
    <w:rsid w:val="009313D0"/>
    <w:rsid w:val="00931A4E"/>
    <w:rsid w:val="0093214A"/>
    <w:rsid w:val="00941F79"/>
    <w:rsid w:val="009429E6"/>
    <w:rsid w:val="00947546"/>
    <w:rsid w:val="00953F40"/>
    <w:rsid w:val="0096734C"/>
    <w:rsid w:val="00973F78"/>
    <w:rsid w:val="00974EC5"/>
    <w:rsid w:val="00976ECB"/>
    <w:rsid w:val="009809D3"/>
    <w:rsid w:val="009A4659"/>
    <w:rsid w:val="009A622C"/>
    <w:rsid w:val="009A7587"/>
    <w:rsid w:val="009B033C"/>
    <w:rsid w:val="009B2A9F"/>
    <w:rsid w:val="009B6A1C"/>
    <w:rsid w:val="009C45C8"/>
    <w:rsid w:val="009C772C"/>
    <w:rsid w:val="009D3B6C"/>
    <w:rsid w:val="009E430E"/>
    <w:rsid w:val="009E73EE"/>
    <w:rsid w:val="009E78BE"/>
    <w:rsid w:val="009E7E74"/>
    <w:rsid w:val="009F42DC"/>
    <w:rsid w:val="009F45CF"/>
    <w:rsid w:val="009F5C2B"/>
    <w:rsid w:val="00A20EF3"/>
    <w:rsid w:val="00A30298"/>
    <w:rsid w:val="00A303CD"/>
    <w:rsid w:val="00A3740B"/>
    <w:rsid w:val="00A436D8"/>
    <w:rsid w:val="00A441EE"/>
    <w:rsid w:val="00A4648B"/>
    <w:rsid w:val="00A52ABE"/>
    <w:rsid w:val="00A54C54"/>
    <w:rsid w:val="00A60784"/>
    <w:rsid w:val="00A65AE4"/>
    <w:rsid w:val="00A82E28"/>
    <w:rsid w:val="00A91918"/>
    <w:rsid w:val="00A92311"/>
    <w:rsid w:val="00A92B50"/>
    <w:rsid w:val="00A93192"/>
    <w:rsid w:val="00AA1644"/>
    <w:rsid w:val="00AA3787"/>
    <w:rsid w:val="00AA605B"/>
    <w:rsid w:val="00AA7EBB"/>
    <w:rsid w:val="00AB582E"/>
    <w:rsid w:val="00AC0BEA"/>
    <w:rsid w:val="00AC40D2"/>
    <w:rsid w:val="00AC4D33"/>
    <w:rsid w:val="00AC5E77"/>
    <w:rsid w:val="00AE14DA"/>
    <w:rsid w:val="00AE3AE6"/>
    <w:rsid w:val="00AE5B52"/>
    <w:rsid w:val="00AF493D"/>
    <w:rsid w:val="00AF6A6D"/>
    <w:rsid w:val="00B142AA"/>
    <w:rsid w:val="00B152AA"/>
    <w:rsid w:val="00B15E69"/>
    <w:rsid w:val="00B202D8"/>
    <w:rsid w:val="00B23DD2"/>
    <w:rsid w:val="00B3149F"/>
    <w:rsid w:val="00B31C93"/>
    <w:rsid w:val="00B4171A"/>
    <w:rsid w:val="00B502B5"/>
    <w:rsid w:val="00B528DD"/>
    <w:rsid w:val="00B53264"/>
    <w:rsid w:val="00B548E6"/>
    <w:rsid w:val="00B554E7"/>
    <w:rsid w:val="00B63FF0"/>
    <w:rsid w:val="00B64477"/>
    <w:rsid w:val="00B77EC4"/>
    <w:rsid w:val="00B84CF0"/>
    <w:rsid w:val="00B9031C"/>
    <w:rsid w:val="00B905F8"/>
    <w:rsid w:val="00B93784"/>
    <w:rsid w:val="00B96F88"/>
    <w:rsid w:val="00B979A6"/>
    <w:rsid w:val="00BA2481"/>
    <w:rsid w:val="00BB11C8"/>
    <w:rsid w:val="00BB1D04"/>
    <w:rsid w:val="00BD735D"/>
    <w:rsid w:val="00BF5286"/>
    <w:rsid w:val="00C045B6"/>
    <w:rsid w:val="00C10692"/>
    <w:rsid w:val="00C110E1"/>
    <w:rsid w:val="00C11117"/>
    <w:rsid w:val="00C2395E"/>
    <w:rsid w:val="00C25E27"/>
    <w:rsid w:val="00C268E6"/>
    <w:rsid w:val="00C310A9"/>
    <w:rsid w:val="00C351DB"/>
    <w:rsid w:val="00C476C0"/>
    <w:rsid w:val="00C477BD"/>
    <w:rsid w:val="00C604F6"/>
    <w:rsid w:val="00C81CA3"/>
    <w:rsid w:val="00C946B9"/>
    <w:rsid w:val="00C96ABD"/>
    <w:rsid w:val="00CA3007"/>
    <w:rsid w:val="00CC127F"/>
    <w:rsid w:val="00CD4901"/>
    <w:rsid w:val="00CD5AD8"/>
    <w:rsid w:val="00CD6401"/>
    <w:rsid w:val="00CE55D6"/>
    <w:rsid w:val="00CE7C4C"/>
    <w:rsid w:val="00CF60E5"/>
    <w:rsid w:val="00D00402"/>
    <w:rsid w:val="00D0530B"/>
    <w:rsid w:val="00D128FB"/>
    <w:rsid w:val="00D2256F"/>
    <w:rsid w:val="00D22C2A"/>
    <w:rsid w:val="00D24978"/>
    <w:rsid w:val="00D24FBE"/>
    <w:rsid w:val="00D25289"/>
    <w:rsid w:val="00D357ED"/>
    <w:rsid w:val="00D43FE3"/>
    <w:rsid w:val="00D46371"/>
    <w:rsid w:val="00D50031"/>
    <w:rsid w:val="00D5133A"/>
    <w:rsid w:val="00D54876"/>
    <w:rsid w:val="00D60501"/>
    <w:rsid w:val="00D616AE"/>
    <w:rsid w:val="00D636C8"/>
    <w:rsid w:val="00D65111"/>
    <w:rsid w:val="00D7272F"/>
    <w:rsid w:val="00D95B84"/>
    <w:rsid w:val="00DA3823"/>
    <w:rsid w:val="00DB2898"/>
    <w:rsid w:val="00DB6E28"/>
    <w:rsid w:val="00DC103D"/>
    <w:rsid w:val="00DC2577"/>
    <w:rsid w:val="00DC2D06"/>
    <w:rsid w:val="00DC6E82"/>
    <w:rsid w:val="00DD6A87"/>
    <w:rsid w:val="00DE1ED8"/>
    <w:rsid w:val="00DF32D6"/>
    <w:rsid w:val="00DF7BEF"/>
    <w:rsid w:val="00E033BA"/>
    <w:rsid w:val="00E15394"/>
    <w:rsid w:val="00E236E5"/>
    <w:rsid w:val="00E27EA2"/>
    <w:rsid w:val="00E45809"/>
    <w:rsid w:val="00E51653"/>
    <w:rsid w:val="00E51A2C"/>
    <w:rsid w:val="00E525AF"/>
    <w:rsid w:val="00E550B1"/>
    <w:rsid w:val="00E565DC"/>
    <w:rsid w:val="00E61A5B"/>
    <w:rsid w:val="00E705DF"/>
    <w:rsid w:val="00E70AF1"/>
    <w:rsid w:val="00E72F45"/>
    <w:rsid w:val="00E7592C"/>
    <w:rsid w:val="00E8571C"/>
    <w:rsid w:val="00E86E7B"/>
    <w:rsid w:val="00E915BC"/>
    <w:rsid w:val="00E95407"/>
    <w:rsid w:val="00E95641"/>
    <w:rsid w:val="00EA3EB7"/>
    <w:rsid w:val="00EA64F1"/>
    <w:rsid w:val="00EA6A53"/>
    <w:rsid w:val="00EC4FA9"/>
    <w:rsid w:val="00EC7153"/>
    <w:rsid w:val="00ED0A75"/>
    <w:rsid w:val="00ED477D"/>
    <w:rsid w:val="00EF1D8D"/>
    <w:rsid w:val="00EF39E1"/>
    <w:rsid w:val="00F10705"/>
    <w:rsid w:val="00F20296"/>
    <w:rsid w:val="00F2382E"/>
    <w:rsid w:val="00F243C8"/>
    <w:rsid w:val="00F2542E"/>
    <w:rsid w:val="00F33C3F"/>
    <w:rsid w:val="00F406EB"/>
    <w:rsid w:val="00F43274"/>
    <w:rsid w:val="00F50596"/>
    <w:rsid w:val="00F52039"/>
    <w:rsid w:val="00F55408"/>
    <w:rsid w:val="00F60C06"/>
    <w:rsid w:val="00F6154B"/>
    <w:rsid w:val="00F72023"/>
    <w:rsid w:val="00F72CB0"/>
    <w:rsid w:val="00F750E9"/>
    <w:rsid w:val="00F911A4"/>
    <w:rsid w:val="00F91AF0"/>
    <w:rsid w:val="00F9201B"/>
    <w:rsid w:val="00FA0833"/>
    <w:rsid w:val="00FA1BBA"/>
    <w:rsid w:val="00FA2D77"/>
    <w:rsid w:val="00FA4ED0"/>
    <w:rsid w:val="00FB1201"/>
    <w:rsid w:val="00FB2B74"/>
    <w:rsid w:val="00FB33E8"/>
    <w:rsid w:val="00FB7655"/>
    <w:rsid w:val="00FD38D7"/>
    <w:rsid w:val="00FD58CF"/>
    <w:rsid w:val="00FD7F05"/>
    <w:rsid w:val="00FE74F8"/>
    <w:rsid w:val="00FF293E"/>
    <w:rsid w:val="00FF60B6"/>
    <w:rsid w:val="00FF77AF"/>
    <w:rsid w:val="2BEB9925"/>
    <w:rsid w:val="375B524E"/>
    <w:rsid w:val="3DBF8409"/>
    <w:rsid w:val="4FBF514A"/>
    <w:rsid w:val="76E5AFD7"/>
    <w:rsid w:val="78EFAE9F"/>
    <w:rsid w:val="7DEF1D8B"/>
    <w:rsid w:val="7F8F967B"/>
    <w:rsid w:val="7F8F9E2B"/>
    <w:rsid w:val="BFDF043C"/>
    <w:rsid w:val="ECFD70B3"/>
    <w:rsid w:val="F7D7E317"/>
    <w:rsid w:val="F8F6CDC8"/>
    <w:rsid w:val="FBEE4DFD"/>
    <w:rsid w:val="FEFB29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jc w:val="both"/>
    </w:pPr>
    <w:rPr>
      <w:color w:val="000000"/>
      <w:kern w:val="2"/>
      <w:sz w:val="21"/>
      <w:lang w:val="en-US" w:eastAsia="zh-CN" w:bidi="ar-SA"/>
    </w:rPr>
  </w:style>
  <w:style w:type="paragraph" w:styleId="3">
    <w:name w:val="heading 1"/>
    <w:basedOn w:val="1"/>
    <w:next w:val="1"/>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character" w:default="1" w:styleId="9">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pPr>
      <w:widowControl w:val="0"/>
      <w:jc w:val="both"/>
    </w:pPr>
    <w:tblPr>
      <w:tblStyle w:val="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17</Words>
  <Characters>97</Characters>
  <Lines>1</Lines>
  <Paragraphs>1</Paragraphs>
  <TotalTime>28.3333333333333</TotalTime>
  <ScaleCrop>false</ScaleCrop>
  <LinksUpToDate>false</LinksUpToDate>
  <CharactersWithSpaces>113</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2014-12-14T14:20:00Z</dcterms:created>
  <dc:creator>lyj</dc:creator>
  <cp:lastModifiedBy>王玲珑</cp:lastModifiedBy>
  <cp:lastPrinted>2023-07-29T16:14:03Z</cp:lastPrinted>
  <dcterms:modified xsi:type="dcterms:W3CDTF">2023-08-02T16:31:02Z</dcterms:modified>
  <dc:title>丽水市林业局森林公安局文件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