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both"/>
        <w:textAlignment w:val="baseline"/>
        <w:rPr>
          <w:rFonts w:hint="default" w:ascii="Times New Roman" w:hAnsi="Times New Roman" w:eastAsia="仿宋_GB2312" w:cs="Times New Roman"/>
          <w:sz w:val="32"/>
          <w:szCs w:val="32"/>
          <w:lang w:eastAsia="zh-CN"/>
        </w:rPr>
      </w:pPr>
      <w:bookmarkStart w:id="0" w:name="_GoBack"/>
      <w:bookmarkEnd w:id="0"/>
      <w:r>
        <w:rPr>
          <w:rFonts w:hint="default" w:ascii="Times New Roman" w:hAnsi="Times New Roman" w:eastAsia="仿宋_GB2312" w:cs="Times New Roman"/>
          <w:spacing w:val="-20"/>
          <w:sz w:val="32"/>
          <w:szCs w:val="32"/>
        </w:rPr>
        <w:t>附</w:t>
      </w:r>
      <w:r>
        <w:rPr>
          <w:rFonts w:hint="default" w:ascii="Times New Roman" w:hAnsi="Times New Roman" w:eastAsia="仿宋_GB2312" w:cs="Times New Roman"/>
          <w:spacing w:val="-18"/>
          <w:sz w:val="32"/>
          <w:szCs w:val="32"/>
        </w:rPr>
        <w:t>件</w:t>
      </w:r>
      <w:r>
        <w:rPr>
          <w:rFonts w:hint="default" w:ascii="Times New Roman" w:hAnsi="Times New Roman" w:eastAsia="仿宋_GB2312" w:cs="Times New Roman"/>
          <w:spacing w:val="-18"/>
          <w:sz w:val="32"/>
          <w:szCs w:val="32"/>
          <w:lang w:val="en-US" w:eastAsia="zh-CN"/>
        </w:rPr>
        <w:t xml:space="preserve"> 5</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both"/>
        <w:textAlignment w:val="baseline"/>
        <w:rPr>
          <w:rFonts w:hint="default" w:ascii="Times New Roman" w:hAnsi="Times New Roman" w:eastAsia="方正小标宋简体"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textAlignment w:val="baseline"/>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第13</w:t>
      </w:r>
      <w:r>
        <w:rPr>
          <w:rFonts w:hint="eastAsia" w:ascii="Times New Roman" w:hAnsi="Times New Roman" w:eastAsia="方正小标宋简体" w:cs="Times New Roman"/>
          <w:sz w:val="44"/>
          <w:szCs w:val="44"/>
          <w:lang w:val="en-US" w:eastAsia="zh-CN"/>
        </w:rPr>
        <w:t>8</w:t>
      </w:r>
      <w:r>
        <w:rPr>
          <w:rFonts w:hint="default" w:ascii="Times New Roman" w:hAnsi="Times New Roman" w:eastAsia="方正小标宋简体" w:cs="Times New Roman"/>
          <w:sz w:val="44"/>
          <w:szCs w:val="44"/>
        </w:rPr>
        <w:t>届广交会绿色发展系列措施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both"/>
        <w:textAlignment w:val="baseline"/>
        <w:rPr>
          <w:rFonts w:hint="default" w:ascii="Times New Roman" w:hAnsi="Times New Roman" w:eastAsia="仿宋_GB2312" w:cs="Times New Roman"/>
          <w:sz w:val="32"/>
          <w:szCs w:val="32"/>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40" w:firstLineChars="200"/>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rPr>
        <w:t>将各交易团参与组织实施广交会绿色发展计划的成效列为组展工作评估的重要参考指标，凡未完成100%绿色布展的交易团不能获得组展表彰。对同时符合以下条件的交易团，授予优秀组织单位：</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（一）参展企业申报广交会绿美展位优秀案例数量居申</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报总数前 3 名或获征为优秀案例数量居总优秀案例数前 3 名。</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（二）参展企业没有违规搭建展位、丢弃展品或搭建材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料废物、违反大会噪声管控、筹撤展期间不佩戴安全帽、不执行大会处理规定等行为。</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二、对绿色特装不合格的参展企业，采取调整下一届参展对应展区的展位位置、限制特装等措施，具体如下：</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一次绿色特装不合格的主通道参展企业（包括品牌企业和一般性特装企业），下一届不安排主通道位置。第一次绿色特装不合格的非主通道参展企业，如属品牌企业，下一届展位位置安排在绿色特装合格的品牌企业之后；如属一般性特装企业，下一届展位位置安排在绿色特装合格的企业之后。累计两次绿色特装不合格的一般性特装企业（包括主通道和非主通道企业），下一届不允许实施展位特装。</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三、实施品牌</w:t>
      </w:r>
      <w:r>
        <w:rPr>
          <w:rFonts w:hint="default" w:ascii="Times New Roman" w:hAnsi="Times New Roman" w:eastAsia="仿宋_GB2312" w:cs="Times New Roman"/>
          <w:sz w:val="32"/>
          <w:szCs w:val="32"/>
          <w:lang w:val="en-US" w:eastAsia="zh-CN"/>
        </w:rPr>
        <w:t>展位</w:t>
      </w:r>
      <w:r>
        <w:rPr>
          <w:rFonts w:hint="default" w:ascii="Times New Roman" w:hAnsi="Times New Roman" w:eastAsia="仿宋_GB2312" w:cs="Times New Roman"/>
          <w:sz w:val="32"/>
          <w:szCs w:val="32"/>
        </w:rPr>
        <w:t>评审扣分。自上一个品牌评审周期以来，绿色特装不合格的参展企业，从第2次不合格起计，每1次不合格扣1分。</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四、建立费用追缴和违规处理的约束机制，加强对参展</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企业不按规定报图进行违规搭建、违规丢弃展品或搭建材料</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废物等行为的处理：</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（一）对违规参展企业进行通报。</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（二）追缴施工管理费（单层展位 25 元/平方米、双层</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展位 45 元/平方米）等相关费用。</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（三）对乱丢弃展品或搭建材料废物的按 2000 元/标准展位进行处理。</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（四）对已经交 500 元/标准展位清场押金，但在撤展期间仍乱丢弃展品及搭建材料废物的，没收押金，并按1500</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元/标准展位进行处理。</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（五）对不按规定报图进行违规搭建的按 2000 元/标准展位进行处理。</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（六）对不按规定报图进行违规搭建且拒不拆除和清理的参展企业，收取标摊配置费，按 10000 元/标准展位收取展位违规搭建拆除费（双层特装或大钢梁大面积结构复杂的特装需另行订立拆除费用标准）、按 2000 元/标准展位收取展位搭建材料清理费。</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对不按规定报图进行违规搭建、违规丢弃展品或搭建材料废物的参展企业，自当届违规行为确认时起，暂停相关参展企业广交会参展证、参展代表证、筹撤展证等证件，待参展企业执行大会处理规定、缴交相关费用后，恢复证件。否则，将永久取消广交会办证资格。</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六、试点推行模块化特装搭建。以市场化的形式，在体</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育及旅游休闲用品、办公文具、医药保健品及医疗器械展区</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的小型特装展位（展位面积为 18 ㎡-36 ㎡）推广模块化搭建</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方案，实现展位统一搭建拆除，提高搭建材料的循环利用率，减少废弃物产生和碳排放。</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七</w:t>
      </w:r>
      <w:r>
        <w:rPr>
          <w:rFonts w:hint="default" w:ascii="Times New Roman" w:hAnsi="Times New Roman" w:eastAsia="仿宋_GB2312" w:cs="Times New Roman"/>
          <w:sz w:val="32"/>
          <w:szCs w:val="32"/>
        </w:rPr>
        <w:t>、加强噪声管控，展位使用的电视机、LED 显示屏等</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声源设备原则上只能作视像演绎，不能外放声音；不允许进行非展品功能宣传的有声展演（包括但不限于乐器表演），不允许开展高于展位内正常洽谈音量的有声活动。对违反噪声管控的参展企业视情节予以劝阻、没收证件、停证、清场、展位断电等处罚。</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八</w:t>
      </w:r>
      <w:r>
        <w:rPr>
          <w:rFonts w:hint="default" w:ascii="Times New Roman" w:hAnsi="Times New Roman" w:eastAsia="仿宋_GB2312" w:cs="Times New Roman"/>
          <w:sz w:val="32"/>
          <w:szCs w:val="32"/>
        </w:rPr>
        <w:t>、对征集为广交会绿</w:t>
      </w:r>
      <w:r>
        <w:rPr>
          <w:rFonts w:hint="default" w:ascii="Times New Roman" w:hAnsi="Times New Roman" w:eastAsia="仿宋_GB2312" w:cs="Times New Roman"/>
          <w:sz w:val="32"/>
          <w:szCs w:val="32"/>
          <w:lang w:val="en-US" w:eastAsia="zh-CN"/>
        </w:rPr>
        <w:t>美</w:t>
      </w:r>
      <w:r>
        <w:rPr>
          <w:rFonts w:hint="default" w:ascii="Times New Roman" w:hAnsi="Times New Roman" w:eastAsia="仿宋_GB2312" w:cs="Times New Roman"/>
          <w:sz w:val="32"/>
          <w:szCs w:val="32"/>
        </w:rPr>
        <w:t>展位优秀案例的展位</w:t>
      </w:r>
      <w:r>
        <w:rPr>
          <w:rFonts w:hint="eastAsia" w:ascii="Times New Roman" w:hAnsi="Times New Roman" w:eastAsia="仿宋_GB2312" w:cs="Times New Roman"/>
          <w:sz w:val="32"/>
          <w:szCs w:val="32"/>
          <w:lang w:val="en-US" w:eastAsia="zh-CN"/>
        </w:rPr>
        <w:t>对应</w:t>
      </w:r>
      <w:r>
        <w:rPr>
          <w:rFonts w:hint="default" w:ascii="Times New Roman" w:hAnsi="Times New Roman" w:eastAsia="仿宋_GB2312" w:cs="Times New Roman"/>
          <w:sz w:val="32"/>
          <w:szCs w:val="32"/>
        </w:rPr>
        <w:t>参展企业，给予以下奖励：</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5"/>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（一）在下届广交会展位及展位位置安排时，同等条件下优先安排。</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5"/>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（二）在广交会品牌展位评审时，对相关参展企业给予加分。绿美五星展位每次加 3 分，绿美四星展位每次加 2 分，绿美三星展位、绿美小展位、设计创新展位、材料创新展位、循环使用展位、最佳人气展位每次加 1 分（每个展位不重复加分）。</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5"/>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（三）授予相关参展企业荣誉证书。</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（四）编制广交会绿</w:t>
      </w:r>
      <w:r>
        <w:rPr>
          <w:rFonts w:hint="default" w:ascii="Times New Roman" w:hAnsi="Times New Roman" w:eastAsia="仿宋_GB2312" w:cs="Times New Roman"/>
          <w:sz w:val="32"/>
          <w:szCs w:val="32"/>
          <w:lang w:val="en-US" w:eastAsia="zh-CN"/>
        </w:rPr>
        <w:t>美</w:t>
      </w:r>
      <w:r>
        <w:rPr>
          <w:rFonts w:hint="default" w:ascii="Times New Roman" w:hAnsi="Times New Roman" w:eastAsia="仿宋_GB2312" w:cs="Times New Roman"/>
          <w:sz w:val="32"/>
          <w:szCs w:val="32"/>
        </w:rPr>
        <w:t>展位优秀案例集</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利用广交会官网、公众号、《广交会通讯》、媒体报道等方式广泛宣传。</w:t>
      </w:r>
    </w:p>
    <w:sectPr>
      <w:pgSz w:w="11906" w:h="16839"/>
      <w:pgMar w:top="1440" w:right="1757" w:bottom="1304" w:left="1757" w:header="0" w:footer="0"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true"/>
  <w:bordersDoNotSurroundHeader w:val="false"/>
  <w:bordersDoNotSurroundFooter w:val="false"/>
  <w:documentProtection w:enforcement="0"/>
  <w:defaultTabStop w:val="420"/>
  <w:displayHorizontalDrawingGridEvery w:val="1"/>
  <w:displayVerticalDrawingGridEvery w:val="1"/>
  <w:noPunctuationKerning w:val="true"/>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GM4ZTc0NWY4ZjhiZTM5YjRlNmE1M2ZmMmY4MmFkZmQifQ=="/>
  </w:docVars>
  <w:rsids>
    <w:rsidRoot w:val="009B471D"/>
    <w:rsid w:val="00245061"/>
    <w:rsid w:val="007A464B"/>
    <w:rsid w:val="009B471D"/>
    <w:rsid w:val="15B9622D"/>
    <w:rsid w:val="1BF663B4"/>
    <w:rsid w:val="1F4B1638"/>
    <w:rsid w:val="1FF900F2"/>
    <w:rsid w:val="249B49DE"/>
    <w:rsid w:val="25F06D21"/>
    <w:rsid w:val="34754591"/>
    <w:rsid w:val="3D5410F4"/>
    <w:rsid w:val="443F7874"/>
    <w:rsid w:val="623936FD"/>
    <w:rsid w:val="76CF455F"/>
    <w:rsid w:val="FDEC3E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1278</Words>
  <Characters>1305</Characters>
  <Lines>2</Lines>
  <Paragraphs>1</Paragraphs>
  <TotalTime>17</TotalTime>
  <ScaleCrop>false</ScaleCrop>
  <LinksUpToDate>false</LinksUpToDate>
  <CharactersWithSpaces>1308</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2023-03-14T13:29:00Z</dcterms:created>
  <dc:creator>admin</dc:creator>
  <cp:lastModifiedBy>李荣山</cp:lastModifiedBy>
  <cp:lastPrinted>2023-09-13T17:39:00Z</cp:lastPrinted>
  <dcterms:modified xsi:type="dcterms:W3CDTF">2025-07-10T08:41:20Z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2023-03-14T13:25:39Z</vt:filetime>
  </property>
  <property fmtid="{D5CDD505-2E9C-101B-9397-08002B2CF9AE}" pid="4" name="KSOProductBuildVer">
    <vt:lpwstr>2052-11.8.2.9831</vt:lpwstr>
  </property>
  <property fmtid="{D5CDD505-2E9C-101B-9397-08002B2CF9AE}" pid="5" name="ICV">
    <vt:lpwstr>6857A3E823DF4CA6851179F4792DE96D_12</vt:lpwstr>
  </property>
  <property fmtid="{D5CDD505-2E9C-101B-9397-08002B2CF9AE}" pid="6" name="KSOTemplateDocerSaveRecord">
    <vt:lpwstr>eyJoZGlkIjoiZDRlN2EyMzM2MmQ4Y2ZiMTJjZjc3ZjE1Yzk5NjlmZWYiLCJ1c2VySWQiOiI3OTAyNjM2MjYifQ==</vt:lpwstr>
  </property>
</Properties>
</file>