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7EEC" w:rsidRDefault="00A27EEC" w:rsidP="001F28A9">
      <w:pPr>
        <w:tabs>
          <w:tab w:val="left" w:pos="900"/>
          <w:tab w:val="left" w:pos="7740"/>
        </w:tabs>
        <w:rPr>
          <w:rFonts w:ascii="黑体" w:eastAsia="黑体"/>
          <w:color w:val="000000"/>
          <w:szCs w:val="32"/>
        </w:rPr>
      </w:pPr>
    </w:p>
    <w:p w:rsidR="00A27EEC" w:rsidRPr="00AC4E02" w:rsidRDefault="00A27EEC" w:rsidP="001F28A9">
      <w:pPr>
        <w:tabs>
          <w:tab w:val="left" w:pos="900"/>
          <w:tab w:val="left" w:pos="7740"/>
        </w:tabs>
        <w:jc w:val="center"/>
        <w:rPr>
          <w:rFonts w:ascii="方正小标宋简体" w:eastAsia="方正小标宋简体"/>
          <w:color w:val="FF0000"/>
          <w:spacing w:val="-20"/>
          <w:w w:val="90"/>
          <w:sz w:val="84"/>
          <w:szCs w:val="84"/>
        </w:rPr>
      </w:pPr>
    </w:p>
    <w:p w:rsidR="00A27EEC" w:rsidRDefault="00A27EEC" w:rsidP="001F28A9">
      <w:pPr>
        <w:spacing w:line="360" w:lineRule="exact"/>
      </w:pPr>
    </w:p>
    <w:p w:rsidR="00A27EEC" w:rsidRDefault="00A27EEC" w:rsidP="001F28A9">
      <w:pPr>
        <w:spacing w:line="360" w:lineRule="exact"/>
      </w:pPr>
    </w:p>
    <w:p w:rsidR="00A27EEC" w:rsidRDefault="00A27EEC" w:rsidP="001F28A9">
      <w:pPr>
        <w:spacing w:line="360" w:lineRule="exact"/>
      </w:pPr>
    </w:p>
    <w:p w:rsidR="00A27EEC" w:rsidRDefault="00A27EEC" w:rsidP="001F28A9">
      <w:pPr>
        <w:spacing w:line="360" w:lineRule="exact"/>
      </w:pPr>
    </w:p>
    <w:p w:rsidR="00A27EEC" w:rsidRDefault="00A27EEC" w:rsidP="001F28A9">
      <w:pPr>
        <w:spacing w:line="360" w:lineRule="exact"/>
      </w:pPr>
    </w:p>
    <w:p w:rsidR="00A27EEC" w:rsidRPr="00AC4E02" w:rsidRDefault="00A27EEC" w:rsidP="001F28A9">
      <w:pPr>
        <w:spacing w:line="360" w:lineRule="exact"/>
      </w:pPr>
    </w:p>
    <w:p w:rsidR="00A27EEC" w:rsidRPr="0064512B" w:rsidRDefault="00A27EEC" w:rsidP="001F28A9">
      <w:pPr>
        <w:spacing w:line="360" w:lineRule="exact"/>
        <w:jc w:val="center"/>
        <w:rPr>
          <w:rFonts w:ascii="仿宋_GB2312"/>
          <w:szCs w:val="32"/>
        </w:rPr>
      </w:pPr>
      <w:r w:rsidRPr="0064512B">
        <w:rPr>
          <w:rFonts w:ascii="仿宋_GB2312" w:hint="eastAsia"/>
          <w:szCs w:val="32"/>
        </w:rPr>
        <w:t>丽委办发〔</w:t>
      </w:r>
      <w:r w:rsidRPr="0064512B">
        <w:rPr>
          <w:rFonts w:ascii="仿宋_GB2312"/>
          <w:szCs w:val="32"/>
        </w:rPr>
        <w:t>2019</w:t>
      </w:r>
      <w:r w:rsidRPr="0064512B">
        <w:rPr>
          <w:rFonts w:ascii="仿宋_GB2312" w:hint="eastAsia"/>
          <w:szCs w:val="32"/>
        </w:rPr>
        <w:t>〕</w:t>
      </w:r>
      <w:r w:rsidR="00AA4E0C">
        <w:rPr>
          <w:rFonts w:ascii="仿宋_GB2312" w:hint="eastAsia"/>
          <w:szCs w:val="32"/>
        </w:rPr>
        <w:t>52</w:t>
      </w:r>
      <w:r w:rsidRPr="0064512B">
        <w:rPr>
          <w:rFonts w:ascii="仿宋_GB2312" w:hint="eastAsia"/>
          <w:szCs w:val="32"/>
        </w:rPr>
        <w:t>号</w:t>
      </w:r>
    </w:p>
    <w:p w:rsidR="00A27EEC" w:rsidRPr="00AC4E02" w:rsidRDefault="00A27EEC" w:rsidP="001F28A9">
      <w:pPr>
        <w:spacing w:line="580" w:lineRule="exact"/>
        <w:rPr>
          <w:sz w:val="48"/>
          <w:szCs w:val="48"/>
        </w:rPr>
      </w:pPr>
    </w:p>
    <w:p w:rsidR="00A27EEC" w:rsidRPr="00AC4E02" w:rsidRDefault="00A27EEC" w:rsidP="001F28A9">
      <w:pPr>
        <w:pStyle w:val="a5"/>
        <w:spacing w:before="0" w:beforeAutospacing="0" w:after="0" w:afterAutospacing="0" w:line="580" w:lineRule="exact"/>
        <w:rPr>
          <w:rFonts w:ascii="方正小标宋_GBK" w:eastAsia="方正小标宋_GBK"/>
          <w:sz w:val="40"/>
          <w:szCs w:val="40"/>
        </w:rPr>
      </w:pPr>
    </w:p>
    <w:p w:rsidR="000F7E59" w:rsidRDefault="000F7E59" w:rsidP="000F7E59">
      <w:pPr>
        <w:adjustRightInd w:val="0"/>
        <w:snapToGrid w:val="0"/>
        <w:spacing w:line="600" w:lineRule="exact"/>
        <w:jc w:val="center"/>
        <w:rPr>
          <w:rFonts w:eastAsia="方正小标宋简体"/>
          <w:sz w:val="44"/>
          <w:szCs w:val="44"/>
        </w:rPr>
      </w:pPr>
      <w:r>
        <w:rPr>
          <w:rFonts w:eastAsia="方正小标宋简体" w:hint="eastAsia"/>
          <w:sz w:val="44"/>
          <w:szCs w:val="44"/>
        </w:rPr>
        <w:t>中共丽水市委办公室</w:t>
      </w:r>
      <w:r>
        <w:rPr>
          <w:rFonts w:eastAsia="方正小标宋简体" w:hint="eastAsia"/>
          <w:sz w:val="44"/>
          <w:szCs w:val="44"/>
        </w:rPr>
        <w:t xml:space="preserve"> </w:t>
      </w:r>
      <w:r>
        <w:rPr>
          <w:rFonts w:eastAsia="方正小标宋简体" w:hint="eastAsia"/>
          <w:sz w:val="44"/>
          <w:szCs w:val="44"/>
        </w:rPr>
        <w:t>丽水市人民政府办公室</w:t>
      </w:r>
    </w:p>
    <w:p w:rsidR="000F7E59" w:rsidRDefault="000F7E59" w:rsidP="000F7E59">
      <w:pPr>
        <w:adjustRightInd w:val="0"/>
        <w:snapToGrid w:val="0"/>
        <w:spacing w:line="600" w:lineRule="exact"/>
        <w:jc w:val="center"/>
        <w:rPr>
          <w:rFonts w:eastAsia="方正小标宋简体"/>
          <w:sz w:val="44"/>
          <w:szCs w:val="44"/>
        </w:rPr>
      </w:pPr>
      <w:r>
        <w:rPr>
          <w:rFonts w:eastAsia="方正小标宋简体"/>
          <w:sz w:val="44"/>
          <w:szCs w:val="44"/>
        </w:rPr>
        <w:t>关于推进科技创新引领高质量绿色发展的</w:t>
      </w:r>
    </w:p>
    <w:p w:rsidR="000F7E59" w:rsidRDefault="000F7E59" w:rsidP="000F7E59">
      <w:pPr>
        <w:adjustRightInd w:val="0"/>
        <w:snapToGrid w:val="0"/>
        <w:spacing w:line="600" w:lineRule="exact"/>
        <w:jc w:val="center"/>
        <w:rPr>
          <w:rFonts w:eastAsia="方正小标宋简体"/>
          <w:sz w:val="44"/>
          <w:szCs w:val="44"/>
        </w:rPr>
      </w:pPr>
      <w:r>
        <w:rPr>
          <w:rFonts w:eastAsia="方正小标宋简体" w:hint="eastAsia"/>
          <w:sz w:val="44"/>
          <w:szCs w:val="44"/>
        </w:rPr>
        <w:t>二十六条</w:t>
      </w:r>
      <w:r>
        <w:rPr>
          <w:rFonts w:eastAsia="方正小标宋简体"/>
          <w:sz w:val="44"/>
          <w:szCs w:val="44"/>
        </w:rPr>
        <w:t>意见</w:t>
      </w:r>
    </w:p>
    <w:p w:rsidR="000F7E59" w:rsidRPr="000C0055" w:rsidRDefault="000F7E59" w:rsidP="000F7E59">
      <w:pPr>
        <w:spacing w:line="600" w:lineRule="exact"/>
        <w:jc w:val="center"/>
        <w:rPr>
          <w:rFonts w:ascii="楷体_GB2312" w:eastAsia="楷体_GB2312"/>
          <w:kern w:val="0"/>
          <w:szCs w:val="32"/>
        </w:rPr>
      </w:pPr>
      <w:r w:rsidRPr="000C0055">
        <w:rPr>
          <w:rFonts w:ascii="楷体_GB2312" w:eastAsia="楷体_GB2312" w:hint="eastAsia"/>
          <w:kern w:val="0"/>
          <w:szCs w:val="32"/>
        </w:rPr>
        <w:t>（2019年9月</w:t>
      </w:r>
      <w:r w:rsidR="00700CCC">
        <w:rPr>
          <w:rFonts w:ascii="楷体_GB2312" w:eastAsia="楷体_GB2312" w:hint="eastAsia"/>
          <w:kern w:val="0"/>
          <w:szCs w:val="32"/>
        </w:rPr>
        <w:t>17</w:t>
      </w:r>
      <w:r w:rsidRPr="000C0055">
        <w:rPr>
          <w:rFonts w:ascii="楷体_GB2312" w:eastAsia="楷体_GB2312" w:hint="eastAsia"/>
          <w:kern w:val="0"/>
          <w:szCs w:val="32"/>
        </w:rPr>
        <w:t>日）</w:t>
      </w:r>
    </w:p>
    <w:p w:rsidR="000F7E59" w:rsidRDefault="000F7E59" w:rsidP="000F7E59">
      <w:pPr>
        <w:spacing w:line="600" w:lineRule="exact"/>
        <w:jc w:val="center"/>
        <w:rPr>
          <w:rFonts w:hAnsi="仿宋_GB2312" w:cs="仿宋_GB2312"/>
          <w:szCs w:val="32"/>
        </w:rPr>
      </w:pPr>
    </w:p>
    <w:p w:rsidR="000F7E59" w:rsidRDefault="000F7E59" w:rsidP="000F7E59">
      <w:pPr>
        <w:spacing w:line="600" w:lineRule="exact"/>
        <w:ind w:firstLineChars="200" w:firstLine="640"/>
        <w:rPr>
          <w:kern w:val="0"/>
          <w:szCs w:val="32"/>
        </w:rPr>
      </w:pPr>
      <w:r>
        <w:rPr>
          <w:kern w:val="0"/>
          <w:szCs w:val="32"/>
        </w:rPr>
        <w:t>坚持创新是引领发展的第一动力，为深入实施创新驱动发展战略，全面打开</w:t>
      </w:r>
      <w:r>
        <w:rPr>
          <w:rFonts w:hint="eastAsia"/>
          <w:kern w:val="0"/>
          <w:szCs w:val="32"/>
        </w:rPr>
        <w:t>“</w:t>
      </w:r>
      <w:r>
        <w:rPr>
          <w:kern w:val="0"/>
          <w:szCs w:val="32"/>
        </w:rPr>
        <w:t>两山</w:t>
      </w:r>
      <w:r>
        <w:rPr>
          <w:rFonts w:hint="eastAsia"/>
          <w:kern w:val="0"/>
          <w:szCs w:val="32"/>
        </w:rPr>
        <w:t>”</w:t>
      </w:r>
      <w:r>
        <w:rPr>
          <w:kern w:val="0"/>
          <w:szCs w:val="32"/>
        </w:rPr>
        <w:t>转化通道，促进</w:t>
      </w:r>
      <w:r>
        <w:rPr>
          <w:kern w:val="0"/>
          <w:szCs w:val="32"/>
        </w:rPr>
        <w:t>GDP</w:t>
      </w:r>
      <w:r>
        <w:rPr>
          <w:kern w:val="0"/>
          <w:szCs w:val="32"/>
        </w:rPr>
        <w:t>和</w:t>
      </w:r>
      <w:r>
        <w:rPr>
          <w:kern w:val="0"/>
          <w:szCs w:val="32"/>
        </w:rPr>
        <w:t>GEP</w:t>
      </w:r>
      <w:r>
        <w:rPr>
          <w:kern w:val="0"/>
          <w:szCs w:val="32"/>
        </w:rPr>
        <w:t>协同较快增长，</w:t>
      </w:r>
      <w:r>
        <w:rPr>
          <w:kern w:val="0"/>
          <w:szCs w:val="32"/>
        </w:rPr>
        <w:t>GEP</w:t>
      </w:r>
      <w:r>
        <w:rPr>
          <w:kern w:val="0"/>
          <w:szCs w:val="32"/>
        </w:rPr>
        <w:t>向</w:t>
      </w:r>
      <w:r>
        <w:rPr>
          <w:kern w:val="0"/>
          <w:szCs w:val="32"/>
        </w:rPr>
        <w:t>GDP</w:t>
      </w:r>
      <w:r>
        <w:rPr>
          <w:kern w:val="0"/>
          <w:szCs w:val="32"/>
        </w:rPr>
        <w:t>高效转化，</w:t>
      </w:r>
      <w:r>
        <w:rPr>
          <w:rFonts w:hint="eastAsia"/>
          <w:kern w:val="0"/>
          <w:szCs w:val="32"/>
        </w:rPr>
        <w:t>积极</w:t>
      </w:r>
      <w:r>
        <w:rPr>
          <w:kern w:val="0"/>
          <w:szCs w:val="32"/>
        </w:rPr>
        <w:t>构建现代化生态经济体系，</w:t>
      </w:r>
      <w:r>
        <w:rPr>
          <w:rFonts w:hint="eastAsia"/>
          <w:kern w:val="0"/>
          <w:szCs w:val="32"/>
        </w:rPr>
        <w:t>现就</w:t>
      </w:r>
      <w:r w:rsidRPr="009B67C6">
        <w:rPr>
          <w:rFonts w:hint="eastAsia"/>
          <w:kern w:val="0"/>
          <w:szCs w:val="32"/>
        </w:rPr>
        <w:t>推进科技创新引领高质量绿色发展</w:t>
      </w:r>
      <w:r>
        <w:rPr>
          <w:rFonts w:hint="eastAsia"/>
          <w:kern w:val="0"/>
          <w:szCs w:val="32"/>
        </w:rPr>
        <w:t>提出如下意见。</w:t>
      </w:r>
    </w:p>
    <w:p w:rsidR="000F7E59" w:rsidRDefault="000F7E59" w:rsidP="000F7E59">
      <w:pPr>
        <w:spacing w:line="600" w:lineRule="exact"/>
        <w:ind w:firstLineChars="200" w:firstLine="640"/>
        <w:rPr>
          <w:rFonts w:ascii="黑体" w:eastAsia="黑体" w:hAnsi="黑体" w:cs="黑体"/>
          <w:bCs/>
          <w:szCs w:val="32"/>
        </w:rPr>
      </w:pPr>
      <w:r>
        <w:rPr>
          <w:rFonts w:ascii="黑体" w:eastAsia="黑体" w:hAnsi="黑体" w:cs="黑体" w:hint="eastAsia"/>
          <w:bCs/>
          <w:szCs w:val="32"/>
        </w:rPr>
        <w:t>一、大力培育科技创新主体</w:t>
      </w:r>
    </w:p>
    <w:p w:rsidR="000F7E59" w:rsidRDefault="000F7E59" w:rsidP="000F7E59">
      <w:pPr>
        <w:spacing w:line="600" w:lineRule="exact"/>
        <w:ind w:firstLineChars="200" w:firstLine="640"/>
        <w:rPr>
          <w:b/>
          <w:bCs/>
          <w:kern w:val="0"/>
          <w:szCs w:val="32"/>
        </w:rPr>
      </w:pPr>
      <w:r>
        <w:rPr>
          <w:kern w:val="0"/>
          <w:szCs w:val="32"/>
        </w:rPr>
        <w:t>1.</w:t>
      </w:r>
      <w:r>
        <w:rPr>
          <w:kern w:val="0"/>
          <w:szCs w:val="32"/>
        </w:rPr>
        <w:t>对新认定的国家级工程实验室、重点实验室、工程（技术）研究中心、企业技术中心、国家地方联合工程研究中心（工程实验室）、制造业创新中心等，予以最高不超过</w:t>
      </w:r>
      <w:r>
        <w:rPr>
          <w:kern w:val="0"/>
          <w:szCs w:val="32"/>
        </w:rPr>
        <w:t>3000</w:t>
      </w:r>
      <w:r>
        <w:rPr>
          <w:kern w:val="0"/>
          <w:szCs w:val="32"/>
        </w:rPr>
        <w:t>万元的</w:t>
      </w:r>
      <w:r>
        <w:rPr>
          <w:kern w:val="0"/>
          <w:szCs w:val="32"/>
        </w:rPr>
        <w:lastRenderedPageBreak/>
        <w:t>支持。</w:t>
      </w:r>
    </w:p>
    <w:p w:rsidR="000F7E59" w:rsidRDefault="000F7E59" w:rsidP="000F7E59">
      <w:pPr>
        <w:spacing w:line="600" w:lineRule="exact"/>
        <w:ind w:firstLineChars="200" w:firstLine="640"/>
        <w:rPr>
          <w:kern w:val="0"/>
          <w:szCs w:val="32"/>
        </w:rPr>
      </w:pPr>
      <w:r>
        <w:rPr>
          <w:kern w:val="0"/>
          <w:szCs w:val="32"/>
        </w:rPr>
        <w:t>2.</w:t>
      </w:r>
      <w:r>
        <w:rPr>
          <w:kern w:val="0"/>
          <w:szCs w:val="32"/>
        </w:rPr>
        <w:t>对新认定的省级重点实验室、工程（技术）研究中心、企业技术中心、工程研究中心（工程实验室）、制造业创新中心，给予</w:t>
      </w:r>
      <w:r>
        <w:rPr>
          <w:kern w:val="0"/>
          <w:szCs w:val="32"/>
        </w:rPr>
        <w:t>100</w:t>
      </w:r>
      <w:r>
        <w:rPr>
          <w:kern w:val="0"/>
          <w:szCs w:val="32"/>
        </w:rPr>
        <w:t>万元奖励；对新认定的省级重点企业研究院</w:t>
      </w:r>
      <w:r>
        <w:rPr>
          <w:szCs w:val="32"/>
        </w:rPr>
        <w:t>和重点农业企业研究院</w:t>
      </w:r>
      <w:r>
        <w:rPr>
          <w:kern w:val="0"/>
          <w:szCs w:val="32"/>
        </w:rPr>
        <w:t>，按省财政补助金额，给予同比例配套支持；对新认定的省级企业研究院，给予</w:t>
      </w:r>
      <w:r>
        <w:rPr>
          <w:kern w:val="0"/>
          <w:szCs w:val="32"/>
        </w:rPr>
        <w:t>50</w:t>
      </w:r>
      <w:r>
        <w:rPr>
          <w:kern w:val="0"/>
          <w:szCs w:val="32"/>
        </w:rPr>
        <w:t>万元奖励。</w:t>
      </w:r>
    </w:p>
    <w:p w:rsidR="000F7E59" w:rsidRDefault="000F7E59" w:rsidP="000F7E59">
      <w:pPr>
        <w:spacing w:line="600" w:lineRule="exact"/>
        <w:ind w:firstLineChars="200" w:firstLine="640"/>
        <w:rPr>
          <w:kern w:val="0"/>
          <w:szCs w:val="32"/>
        </w:rPr>
      </w:pPr>
      <w:r>
        <w:rPr>
          <w:kern w:val="0"/>
          <w:szCs w:val="32"/>
        </w:rPr>
        <w:t>3.</w:t>
      </w:r>
      <w:r>
        <w:rPr>
          <w:kern w:val="0"/>
          <w:szCs w:val="32"/>
        </w:rPr>
        <w:t>加快培育发展以企业为主体面向市场的新型研发机构，符合划拨用地目录的，建设用地可采用划拨方式供地，根据其非财政经费支持的科研经费支出，可给予不超过</w:t>
      </w:r>
      <w:r>
        <w:rPr>
          <w:kern w:val="0"/>
          <w:szCs w:val="32"/>
        </w:rPr>
        <w:t>20</w:t>
      </w:r>
      <w:r>
        <w:rPr>
          <w:kern w:val="0"/>
          <w:szCs w:val="32"/>
        </w:rPr>
        <w:t>％的财政补助，每年最高不超过</w:t>
      </w:r>
      <w:r>
        <w:rPr>
          <w:kern w:val="0"/>
          <w:szCs w:val="32"/>
        </w:rPr>
        <w:t>500</w:t>
      </w:r>
      <w:r>
        <w:rPr>
          <w:kern w:val="0"/>
          <w:szCs w:val="32"/>
        </w:rPr>
        <w:t>万元。对中央直属企业、国内行业龙头企业、知名跨国公司、国家科研机构、国家重点大学在我市建立具有独立法人资格、符合我市产业发展方向、引进核心技术并配备核心研发团队的新型研发机构，按其自有资金投入，给予</w:t>
      </w:r>
      <w:r>
        <w:rPr>
          <w:kern w:val="0"/>
          <w:szCs w:val="32"/>
        </w:rPr>
        <w:t>1:1</w:t>
      </w:r>
      <w:r>
        <w:rPr>
          <w:kern w:val="0"/>
          <w:szCs w:val="32"/>
        </w:rPr>
        <w:t>配套支持，最高不超过</w:t>
      </w:r>
      <w:r>
        <w:rPr>
          <w:kern w:val="0"/>
          <w:szCs w:val="32"/>
        </w:rPr>
        <w:t>1000</w:t>
      </w:r>
      <w:r>
        <w:rPr>
          <w:kern w:val="0"/>
          <w:szCs w:val="32"/>
        </w:rPr>
        <w:t>万元。特别重大的新型研发机构可以</w:t>
      </w:r>
      <w:r>
        <w:rPr>
          <w:rFonts w:hint="eastAsia"/>
          <w:kern w:val="0"/>
          <w:szCs w:val="32"/>
        </w:rPr>
        <w:t>“</w:t>
      </w:r>
      <w:r>
        <w:rPr>
          <w:kern w:val="0"/>
          <w:szCs w:val="32"/>
        </w:rPr>
        <w:t>一事一议</w:t>
      </w:r>
      <w:r>
        <w:rPr>
          <w:rFonts w:hint="eastAsia"/>
          <w:kern w:val="0"/>
          <w:szCs w:val="32"/>
        </w:rPr>
        <w:t>”</w:t>
      </w:r>
      <w:r>
        <w:rPr>
          <w:kern w:val="0"/>
          <w:szCs w:val="32"/>
        </w:rPr>
        <w:t>方式给予支持。</w:t>
      </w:r>
    </w:p>
    <w:p w:rsidR="000F7E59" w:rsidRDefault="000F7E59" w:rsidP="000F7E59">
      <w:pPr>
        <w:spacing w:line="600" w:lineRule="exact"/>
        <w:ind w:firstLineChars="200" w:firstLine="640"/>
        <w:rPr>
          <w:kern w:val="0"/>
          <w:szCs w:val="32"/>
        </w:rPr>
      </w:pPr>
      <w:r>
        <w:rPr>
          <w:kern w:val="0"/>
          <w:szCs w:val="32"/>
        </w:rPr>
        <w:t>4.</w:t>
      </w:r>
      <w:r>
        <w:rPr>
          <w:kern w:val="0"/>
          <w:szCs w:val="32"/>
        </w:rPr>
        <w:t>对新认定的省级高成长科技型中小企业和省级科技型中小企业（农业科技企业），分别给予</w:t>
      </w:r>
      <w:r>
        <w:rPr>
          <w:kern w:val="0"/>
          <w:szCs w:val="32"/>
        </w:rPr>
        <w:t>10</w:t>
      </w:r>
      <w:r>
        <w:rPr>
          <w:kern w:val="0"/>
          <w:szCs w:val="32"/>
        </w:rPr>
        <w:t>万元和</w:t>
      </w:r>
      <w:r>
        <w:rPr>
          <w:kern w:val="0"/>
          <w:szCs w:val="32"/>
        </w:rPr>
        <w:t>5</w:t>
      </w:r>
      <w:r>
        <w:rPr>
          <w:kern w:val="0"/>
          <w:szCs w:val="32"/>
        </w:rPr>
        <w:t>万元奖励。对新认定的国家高新技术企业和重新认定的国家高新技术企业，分别给予</w:t>
      </w:r>
      <w:r>
        <w:rPr>
          <w:kern w:val="0"/>
          <w:szCs w:val="32"/>
        </w:rPr>
        <w:t>40</w:t>
      </w:r>
      <w:r>
        <w:rPr>
          <w:kern w:val="0"/>
          <w:szCs w:val="32"/>
        </w:rPr>
        <w:t>万元、</w:t>
      </w:r>
      <w:r>
        <w:rPr>
          <w:kern w:val="0"/>
          <w:szCs w:val="32"/>
        </w:rPr>
        <w:t>10</w:t>
      </w:r>
      <w:r>
        <w:rPr>
          <w:kern w:val="0"/>
          <w:szCs w:val="32"/>
        </w:rPr>
        <w:t>万元奖励，对市外引进（迁入）的国家高新技术企业，视同新认定的国家高新技术企业。对新认定的省级高新技术企业研发中心、省级农业科技研发中心给予</w:t>
      </w:r>
      <w:r>
        <w:rPr>
          <w:kern w:val="0"/>
          <w:szCs w:val="32"/>
        </w:rPr>
        <w:t>10</w:t>
      </w:r>
      <w:r>
        <w:rPr>
          <w:kern w:val="0"/>
          <w:szCs w:val="32"/>
        </w:rPr>
        <w:t>万元奖励。</w:t>
      </w:r>
    </w:p>
    <w:p w:rsidR="000F7E59" w:rsidRDefault="000F7E59" w:rsidP="000F7E59">
      <w:pPr>
        <w:spacing w:line="600" w:lineRule="exact"/>
        <w:ind w:firstLineChars="200" w:firstLine="640"/>
        <w:rPr>
          <w:rFonts w:ascii="黑体" w:eastAsia="黑体" w:hAnsi="黑体" w:cs="黑体"/>
          <w:bCs/>
          <w:szCs w:val="32"/>
        </w:rPr>
      </w:pPr>
      <w:r>
        <w:rPr>
          <w:rFonts w:ascii="黑体" w:eastAsia="黑体" w:hAnsi="黑体" w:cs="黑体" w:hint="eastAsia"/>
          <w:bCs/>
          <w:szCs w:val="32"/>
        </w:rPr>
        <w:lastRenderedPageBreak/>
        <w:t>二、支持创新创业载体建设</w:t>
      </w:r>
    </w:p>
    <w:p w:rsidR="000F7E59" w:rsidRDefault="000F7E59" w:rsidP="000F7E59">
      <w:pPr>
        <w:spacing w:line="600" w:lineRule="exact"/>
        <w:ind w:firstLineChars="200" w:firstLine="640"/>
        <w:rPr>
          <w:kern w:val="0"/>
          <w:szCs w:val="32"/>
        </w:rPr>
      </w:pPr>
      <w:r>
        <w:rPr>
          <w:rFonts w:hint="eastAsia"/>
          <w:kern w:val="0"/>
          <w:szCs w:val="32"/>
        </w:rPr>
        <w:t>5</w:t>
      </w:r>
      <w:r>
        <w:rPr>
          <w:kern w:val="0"/>
          <w:szCs w:val="32"/>
        </w:rPr>
        <w:t>.</w:t>
      </w:r>
      <w:r>
        <w:rPr>
          <w:szCs w:val="32"/>
        </w:rPr>
        <w:t>被认定为国家级、省级</w:t>
      </w:r>
      <w:r>
        <w:rPr>
          <w:rFonts w:hint="eastAsia"/>
          <w:szCs w:val="32"/>
        </w:rPr>
        <w:t>科技企业</w:t>
      </w:r>
      <w:r>
        <w:rPr>
          <w:szCs w:val="32"/>
        </w:rPr>
        <w:t>孵化器的，一次性分别给予</w:t>
      </w:r>
      <w:r>
        <w:rPr>
          <w:szCs w:val="32"/>
        </w:rPr>
        <w:t>100</w:t>
      </w:r>
      <w:r>
        <w:rPr>
          <w:szCs w:val="32"/>
        </w:rPr>
        <w:t>万元、</w:t>
      </w:r>
      <w:r>
        <w:rPr>
          <w:szCs w:val="32"/>
        </w:rPr>
        <w:t>50</w:t>
      </w:r>
      <w:r>
        <w:rPr>
          <w:szCs w:val="32"/>
        </w:rPr>
        <w:t>万元奖励；被认定为国家级、省级众创空间（星创天地）的，一次性</w:t>
      </w:r>
      <w:r>
        <w:rPr>
          <w:rFonts w:hint="eastAsia"/>
          <w:szCs w:val="32"/>
        </w:rPr>
        <w:t>分别</w:t>
      </w:r>
      <w:r>
        <w:rPr>
          <w:szCs w:val="32"/>
        </w:rPr>
        <w:t>给予</w:t>
      </w:r>
      <w:r>
        <w:rPr>
          <w:szCs w:val="32"/>
        </w:rPr>
        <w:t>20</w:t>
      </w:r>
      <w:r>
        <w:rPr>
          <w:szCs w:val="32"/>
        </w:rPr>
        <w:t>万元、</w:t>
      </w:r>
      <w:r>
        <w:rPr>
          <w:szCs w:val="32"/>
        </w:rPr>
        <w:t>10</w:t>
      </w:r>
      <w:r>
        <w:rPr>
          <w:szCs w:val="32"/>
        </w:rPr>
        <w:t>万元奖励。</w:t>
      </w:r>
    </w:p>
    <w:p w:rsidR="000F7E59" w:rsidRDefault="000F7E59" w:rsidP="000F7E59">
      <w:pPr>
        <w:spacing w:line="600" w:lineRule="exact"/>
        <w:ind w:firstLineChars="200" w:firstLine="640"/>
        <w:rPr>
          <w:szCs w:val="32"/>
        </w:rPr>
      </w:pPr>
      <w:r>
        <w:rPr>
          <w:rFonts w:hint="eastAsia"/>
          <w:szCs w:val="32"/>
        </w:rPr>
        <w:t>6</w:t>
      </w:r>
      <w:r>
        <w:rPr>
          <w:szCs w:val="32"/>
        </w:rPr>
        <w:t>.</w:t>
      </w:r>
      <w:r>
        <w:rPr>
          <w:szCs w:val="32"/>
        </w:rPr>
        <w:t>按照新增孵化面积（众创空间按其装修和设备投资）、运行和服务投入、运营绩效等因素，每两年对已认定的市级以上孵化器、众创空间进行绩效评价。年度绩效评价为优秀的，市本级孵化器给予</w:t>
      </w:r>
      <w:r>
        <w:rPr>
          <w:szCs w:val="32"/>
        </w:rPr>
        <w:t>20</w:t>
      </w:r>
      <w:r>
        <w:rPr>
          <w:szCs w:val="32"/>
        </w:rPr>
        <w:t>万元奖励，市本级众创空间给予</w:t>
      </w:r>
      <w:r>
        <w:rPr>
          <w:szCs w:val="32"/>
        </w:rPr>
        <w:t>10</w:t>
      </w:r>
      <w:r>
        <w:rPr>
          <w:szCs w:val="32"/>
        </w:rPr>
        <w:t>万元奖励；良好的，市本级孵化器给予</w:t>
      </w:r>
      <w:r>
        <w:rPr>
          <w:szCs w:val="32"/>
        </w:rPr>
        <w:t>10</w:t>
      </w:r>
      <w:r>
        <w:rPr>
          <w:szCs w:val="32"/>
        </w:rPr>
        <w:t>万元奖励，市本级众创空间给予</w:t>
      </w:r>
      <w:r>
        <w:rPr>
          <w:szCs w:val="32"/>
        </w:rPr>
        <w:t>6</w:t>
      </w:r>
      <w:r>
        <w:rPr>
          <w:szCs w:val="32"/>
        </w:rPr>
        <w:t>万元奖励。</w:t>
      </w:r>
    </w:p>
    <w:p w:rsidR="000F7E59" w:rsidRDefault="000F7E59" w:rsidP="000F7E59">
      <w:pPr>
        <w:spacing w:line="600" w:lineRule="exact"/>
        <w:ind w:firstLineChars="200" w:firstLine="640"/>
        <w:rPr>
          <w:szCs w:val="32"/>
        </w:rPr>
      </w:pPr>
      <w:r>
        <w:rPr>
          <w:rFonts w:hint="eastAsia"/>
          <w:szCs w:val="32"/>
        </w:rPr>
        <w:t>7</w:t>
      </w:r>
      <w:r>
        <w:rPr>
          <w:szCs w:val="32"/>
        </w:rPr>
        <w:t>.</w:t>
      </w:r>
      <w:r>
        <w:rPr>
          <w:szCs w:val="32"/>
        </w:rPr>
        <w:t>科技企业</w:t>
      </w:r>
      <w:r>
        <w:rPr>
          <w:kern w:val="0"/>
          <w:szCs w:val="32"/>
        </w:rPr>
        <w:t>孵化器</w:t>
      </w:r>
      <w:r>
        <w:rPr>
          <w:szCs w:val="32"/>
        </w:rPr>
        <w:t>毕业的企业进入当地产业园区的，三年内入园企业地方综合贡献的</w:t>
      </w:r>
      <w:r>
        <w:rPr>
          <w:szCs w:val="32"/>
        </w:rPr>
        <w:t>50%</w:t>
      </w:r>
      <w:r>
        <w:rPr>
          <w:szCs w:val="32"/>
        </w:rPr>
        <w:t>奖励给原孵化器。市本级每家孵化器、众创空间（星创天地）的</w:t>
      </w:r>
      <w:r>
        <w:rPr>
          <w:rFonts w:hint="eastAsia"/>
          <w:szCs w:val="32"/>
        </w:rPr>
        <w:t>上述</w:t>
      </w:r>
      <w:r>
        <w:rPr>
          <w:szCs w:val="32"/>
        </w:rPr>
        <w:t>财政奖励累计分别不超过</w:t>
      </w:r>
      <w:r>
        <w:rPr>
          <w:szCs w:val="32"/>
        </w:rPr>
        <w:t>300</w:t>
      </w:r>
      <w:r>
        <w:rPr>
          <w:szCs w:val="32"/>
        </w:rPr>
        <w:t>万元、</w:t>
      </w:r>
      <w:r>
        <w:rPr>
          <w:szCs w:val="32"/>
        </w:rPr>
        <w:t>120</w:t>
      </w:r>
      <w:r>
        <w:rPr>
          <w:szCs w:val="32"/>
        </w:rPr>
        <w:t>万元。</w:t>
      </w:r>
    </w:p>
    <w:p w:rsidR="000F7E59" w:rsidRDefault="000F7E59" w:rsidP="000F7E59">
      <w:pPr>
        <w:spacing w:line="600" w:lineRule="exact"/>
        <w:ind w:firstLineChars="200" w:firstLine="640"/>
        <w:rPr>
          <w:rFonts w:ascii="黑体" w:eastAsia="黑体" w:hAnsi="黑体" w:cs="黑体"/>
          <w:bCs/>
          <w:szCs w:val="32"/>
        </w:rPr>
      </w:pPr>
      <w:r>
        <w:rPr>
          <w:rFonts w:ascii="黑体" w:eastAsia="黑体" w:hAnsi="黑体" w:cs="黑体" w:hint="eastAsia"/>
          <w:bCs/>
          <w:szCs w:val="32"/>
        </w:rPr>
        <w:t>三、推动科技成果转移转化</w:t>
      </w:r>
    </w:p>
    <w:p w:rsidR="000F7E59" w:rsidRDefault="000F7E59" w:rsidP="000F7E59">
      <w:pPr>
        <w:spacing w:line="600" w:lineRule="exact"/>
        <w:ind w:firstLineChars="200" w:firstLine="640"/>
        <w:rPr>
          <w:kern w:val="0"/>
          <w:szCs w:val="32"/>
        </w:rPr>
      </w:pPr>
      <w:r>
        <w:rPr>
          <w:rFonts w:hint="eastAsia"/>
          <w:szCs w:val="32"/>
        </w:rPr>
        <w:t>8</w:t>
      </w:r>
      <w:r>
        <w:rPr>
          <w:szCs w:val="32"/>
        </w:rPr>
        <w:t>.</w:t>
      </w:r>
      <w:r>
        <w:rPr>
          <w:szCs w:val="32"/>
        </w:rPr>
        <w:t>市</w:t>
      </w:r>
      <w:r>
        <w:rPr>
          <w:kern w:val="0"/>
          <w:szCs w:val="32"/>
        </w:rPr>
        <w:t>本级企业作为受让方，吸纳先进科技成果在本地转化，单项合同技术交易额超过</w:t>
      </w:r>
      <w:r>
        <w:rPr>
          <w:kern w:val="0"/>
          <w:szCs w:val="32"/>
        </w:rPr>
        <w:t>100</w:t>
      </w:r>
      <w:r>
        <w:rPr>
          <w:kern w:val="0"/>
          <w:szCs w:val="32"/>
        </w:rPr>
        <w:t>万元且已在</w:t>
      </w:r>
      <w:r>
        <w:rPr>
          <w:rFonts w:hint="eastAsia"/>
          <w:kern w:val="0"/>
          <w:szCs w:val="32"/>
        </w:rPr>
        <w:t>“</w:t>
      </w:r>
      <w:r>
        <w:rPr>
          <w:kern w:val="0"/>
          <w:szCs w:val="32"/>
        </w:rPr>
        <w:t>全国技术合同网上登记系统</w:t>
      </w:r>
      <w:r>
        <w:rPr>
          <w:rFonts w:hint="eastAsia"/>
          <w:kern w:val="0"/>
          <w:szCs w:val="32"/>
        </w:rPr>
        <w:t>”</w:t>
      </w:r>
      <w:r>
        <w:rPr>
          <w:kern w:val="0"/>
          <w:szCs w:val="32"/>
        </w:rPr>
        <w:t>登记的，按实际技术交易额的</w:t>
      </w:r>
      <w:r>
        <w:rPr>
          <w:kern w:val="0"/>
          <w:szCs w:val="32"/>
        </w:rPr>
        <w:t>8%</w:t>
      </w:r>
      <w:r>
        <w:rPr>
          <w:kern w:val="0"/>
          <w:szCs w:val="32"/>
        </w:rPr>
        <w:t>提高创新券使用额度，每家企业每年不超过</w:t>
      </w:r>
      <w:r>
        <w:rPr>
          <w:kern w:val="0"/>
          <w:szCs w:val="32"/>
        </w:rPr>
        <w:t>50</w:t>
      </w:r>
      <w:r>
        <w:rPr>
          <w:kern w:val="0"/>
          <w:szCs w:val="32"/>
        </w:rPr>
        <w:t>万元。</w:t>
      </w:r>
    </w:p>
    <w:p w:rsidR="000F7E59" w:rsidRDefault="000F7E59" w:rsidP="000F7E59">
      <w:pPr>
        <w:spacing w:line="600" w:lineRule="exact"/>
        <w:ind w:firstLineChars="200" w:firstLine="640"/>
        <w:rPr>
          <w:szCs w:val="32"/>
        </w:rPr>
      </w:pPr>
      <w:r>
        <w:rPr>
          <w:rFonts w:hint="eastAsia"/>
          <w:kern w:val="0"/>
          <w:szCs w:val="32"/>
        </w:rPr>
        <w:t>9.</w:t>
      </w:r>
      <w:r>
        <w:rPr>
          <w:kern w:val="0"/>
          <w:szCs w:val="32"/>
        </w:rPr>
        <w:t>企业参与科技大市场组织的科技成果拍卖，按实际技术交易额的</w:t>
      </w:r>
      <w:r>
        <w:rPr>
          <w:kern w:val="0"/>
          <w:szCs w:val="32"/>
        </w:rPr>
        <w:t>2%</w:t>
      </w:r>
      <w:r>
        <w:rPr>
          <w:kern w:val="0"/>
          <w:szCs w:val="32"/>
        </w:rPr>
        <w:t>择优给予补助，每家企业每年不超过</w:t>
      </w:r>
      <w:r>
        <w:rPr>
          <w:kern w:val="0"/>
          <w:szCs w:val="32"/>
        </w:rPr>
        <w:t>5</w:t>
      </w:r>
      <w:r>
        <w:rPr>
          <w:kern w:val="0"/>
          <w:szCs w:val="32"/>
        </w:rPr>
        <w:t>万元。对科技大市场运营机构，超额完成委托运营合同约定技术交易额</w:t>
      </w:r>
      <w:r>
        <w:rPr>
          <w:kern w:val="0"/>
          <w:szCs w:val="32"/>
        </w:rPr>
        <w:lastRenderedPageBreak/>
        <w:t>任务的，按其超额部分给予</w:t>
      </w:r>
      <w:r>
        <w:rPr>
          <w:kern w:val="0"/>
          <w:szCs w:val="32"/>
        </w:rPr>
        <w:t>1%</w:t>
      </w:r>
      <w:r>
        <w:rPr>
          <w:kern w:val="0"/>
          <w:szCs w:val="32"/>
        </w:rPr>
        <w:t>的奖励，最高</w:t>
      </w:r>
      <w:r>
        <w:rPr>
          <w:rFonts w:hint="eastAsia"/>
          <w:kern w:val="0"/>
          <w:szCs w:val="32"/>
        </w:rPr>
        <w:t>不超过</w:t>
      </w:r>
      <w:r>
        <w:rPr>
          <w:kern w:val="0"/>
          <w:szCs w:val="32"/>
        </w:rPr>
        <w:t>50</w:t>
      </w:r>
      <w:r>
        <w:rPr>
          <w:kern w:val="0"/>
          <w:szCs w:val="32"/>
        </w:rPr>
        <w:t>万元。对促成市外</w:t>
      </w:r>
      <w:r>
        <w:rPr>
          <w:szCs w:val="32"/>
        </w:rPr>
        <w:t>先进科技成果</w:t>
      </w:r>
      <w:r>
        <w:rPr>
          <w:kern w:val="0"/>
          <w:szCs w:val="32"/>
        </w:rPr>
        <w:t>向企业转移并</w:t>
      </w:r>
      <w:r>
        <w:rPr>
          <w:szCs w:val="32"/>
        </w:rPr>
        <w:t>转化</w:t>
      </w:r>
      <w:r>
        <w:rPr>
          <w:kern w:val="0"/>
          <w:szCs w:val="32"/>
        </w:rPr>
        <w:t>的非国有科技中介服务机构及技术经纪人，在技术转移服务活动发生前，在科技管理部门完成首次备案登记的，可在完成转移一年后，经科技主管部门审核，分别对机构及个人按不超过技术交易额的</w:t>
      </w:r>
      <w:r>
        <w:rPr>
          <w:kern w:val="0"/>
          <w:szCs w:val="32"/>
        </w:rPr>
        <w:t>1%</w:t>
      </w:r>
      <w:r>
        <w:rPr>
          <w:kern w:val="0"/>
          <w:szCs w:val="32"/>
        </w:rPr>
        <w:t>和</w:t>
      </w:r>
      <w:r>
        <w:rPr>
          <w:kern w:val="0"/>
          <w:szCs w:val="32"/>
        </w:rPr>
        <w:t>0.5%</w:t>
      </w:r>
      <w:r>
        <w:rPr>
          <w:kern w:val="0"/>
          <w:szCs w:val="32"/>
        </w:rPr>
        <w:t>给予补助，单项补助额分别不超过</w:t>
      </w:r>
      <w:r>
        <w:rPr>
          <w:kern w:val="0"/>
          <w:szCs w:val="32"/>
        </w:rPr>
        <w:t>100</w:t>
      </w:r>
      <w:r>
        <w:rPr>
          <w:kern w:val="0"/>
          <w:szCs w:val="32"/>
        </w:rPr>
        <w:t>万元和</w:t>
      </w:r>
      <w:r>
        <w:rPr>
          <w:kern w:val="0"/>
          <w:szCs w:val="32"/>
        </w:rPr>
        <w:t>30</w:t>
      </w:r>
      <w:r>
        <w:rPr>
          <w:kern w:val="0"/>
          <w:szCs w:val="32"/>
        </w:rPr>
        <w:t>万元。</w:t>
      </w:r>
    </w:p>
    <w:p w:rsidR="000F7E59" w:rsidRDefault="000F7E59" w:rsidP="000F7E59">
      <w:pPr>
        <w:spacing w:line="600" w:lineRule="exact"/>
        <w:ind w:firstLineChars="200" w:firstLine="640"/>
        <w:rPr>
          <w:szCs w:val="32"/>
          <w:highlight w:val="yellow"/>
        </w:rPr>
      </w:pPr>
      <w:r>
        <w:rPr>
          <w:rFonts w:hint="eastAsia"/>
          <w:kern w:val="0"/>
          <w:szCs w:val="32"/>
        </w:rPr>
        <w:t>10</w:t>
      </w:r>
      <w:r>
        <w:rPr>
          <w:kern w:val="0"/>
          <w:szCs w:val="32"/>
        </w:rPr>
        <w:t>.</w:t>
      </w:r>
      <w:r>
        <w:rPr>
          <w:kern w:val="0"/>
          <w:szCs w:val="32"/>
        </w:rPr>
        <w:t>高校院所、国有科技企业对职务科技成果可</w:t>
      </w:r>
      <w:r>
        <w:rPr>
          <w:rFonts w:hint="eastAsia"/>
          <w:kern w:val="0"/>
          <w:szCs w:val="32"/>
        </w:rPr>
        <w:t>“</w:t>
      </w:r>
      <w:r>
        <w:rPr>
          <w:kern w:val="0"/>
          <w:szCs w:val="32"/>
        </w:rPr>
        <w:t>先确权，后转化</w:t>
      </w:r>
      <w:r>
        <w:rPr>
          <w:rFonts w:hint="eastAsia"/>
          <w:kern w:val="0"/>
          <w:szCs w:val="32"/>
        </w:rPr>
        <w:t>”</w:t>
      </w:r>
      <w:r>
        <w:rPr>
          <w:kern w:val="0"/>
          <w:szCs w:val="32"/>
        </w:rPr>
        <w:t>，转化收益可按不低于</w:t>
      </w:r>
      <w:r>
        <w:rPr>
          <w:kern w:val="0"/>
          <w:szCs w:val="32"/>
        </w:rPr>
        <w:t>70%</w:t>
      </w:r>
      <w:r>
        <w:rPr>
          <w:kern w:val="0"/>
          <w:szCs w:val="32"/>
        </w:rPr>
        <w:t>的比例对科技成果完成人员和为成果转化做出重要贡献的人员进行奖励。</w:t>
      </w:r>
      <w:r>
        <w:rPr>
          <w:szCs w:val="40"/>
        </w:rPr>
        <w:t>担任高校、科研院所及其他从事科技活动的事业单位（不含内设机构）正职领导职务人员，是科技成果主要完成人或对科技成果转化作出重要贡献的，可按规定获得现金奖励，原则上不得获取股权奖励。担任其他领导职务的科研人员，是科技成果主要完成人或对科技成果转化作出重要贡献的，可依法获得现金、股份或出资比例等奖励和报酬。担任领导职务的科技人员科技成果转化收益分配</w:t>
      </w:r>
      <w:r>
        <w:rPr>
          <w:rFonts w:hint="eastAsia"/>
          <w:szCs w:val="40"/>
        </w:rPr>
        <w:t>应</w:t>
      </w:r>
      <w:r>
        <w:rPr>
          <w:szCs w:val="40"/>
        </w:rPr>
        <w:t>实行公开公示制度。</w:t>
      </w:r>
    </w:p>
    <w:p w:rsidR="000F7E59" w:rsidRDefault="000F7E59" w:rsidP="000F7E59">
      <w:pPr>
        <w:spacing w:line="600" w:lineRule="exact"/>
        <w:ind w:firstLineChars="200" w:firstLine="640"/>
        <w:rPr>
          <w:szCs w:val="32"/>
        </w:rPr>
      </w:pPr>
      <w:r>
        <w:rPr>
          <w:kern w:val="0"/>
          <w:szCs w:val="32"/>
        </w:rPr>
        <w:t>1</w:t>
      </w:r>
      <w:r>
        <w:rPr>
          <w:rFonts w:hint="eastAsia"/>
          <w:kern w:val="0"/>
          <w:szCs w:val="32"/>
        </w:rPr>
        <w:t>1</w:t>
      </w:r>
      <w:r>
        <w:rPr>
          <w:kern w:val="0"/>
          <w:szCs w:val="32"/>
        </w:rPr>
        <w:t>.</w:t>
      </w:r>
      <w:r>
        <w:rPr>
          <w:kern w:val="0"/>
          <w:szCs w:val="32"/>
        </w:rPr>
        <w:t>对市本级以第一完成单位获得国家级、省级科学技术奖的，按上级实发奖金给予等额配套奖励；对市本级以第二完成单位获得国家级、省级科学技术奖的，按上级实发奖金给予</w:t>
      </w:r>
      <w:r>
        <w:rPr>
          <w:kern w:val="0"/>
          <w:szCs w:val="32"/>
        </w:rPr>
        <w:t>50%</w:t>
      </w:r>
      <w:r>
        <w:rPr>
          <w:kern w:val="0"/>
          <w:szCs w:val="32"/>
        </w:rPr>
        <w:t>的配套奖励。</w:t>
      </w:r>
    </w:p>
    <w:p w:rsidR="000F7E59" w:rsidRDefault="000F7E59" w:rsidP="000F7E59">
      <w:pPr>
        <w:spacing w:line="600" w:lineRule="exact"/>
        <w:ind w:firstLineChars="200" w:firstLine="640"/>
        <w:rPr>
          <w:rFonts w:ascii="黑体" w:eastAsia="黑体" w:hAnsi="黑体" w:cs="黑体"/>
          <w:bCs/>
          <w:szCs w:val="32"/>
        </w:rPr>
      </w:pPr>
      <w:r>
        <w:rPr>
          <w:rFonts w:ascii="黑体" w:eastAsia="黑体" w:hAnsi="黑体" w:cs="黑体" w:hint="eastAsia"/>
          <w:bCs/>
          <w:szCs w:val="32"/>
        </w:rPr>
        <w:t>四、深化科技管理体制改革</w:t>
      </w:r>
    </w:p>
    <w:p w:rsidR="000F7E59" w:rsidRDefault="000F7E59" w:rsidP="000F7E59">
      <w:pPr>
        <w:spacing w:line="600" w:lineRule="exact"/>
        <w:ind w:firstLineChars="200" w:firstLine="640"/>
        <w:rPr>
          <w:szCs w:val="32"/>
        </w:rPr>
      </w:pPr>
      <w:r>
        <w:rPr>
          <w:szCs w:val="32"/>
        </w:rPr>
        <w:t>1</w:t>
      </w:r>
      <w:r>
        <w:rPr>
          <w:rFonts w:hint="eastAsia"/>
          <w:szCs w:val="32"/>
        </w:rPr>
        <w:t>2</w:t>
      </w:r>
      <w:r>
        <w:rPr>
          <w:szCs w:val="32"/>
        </w:rPr>
        <w:t>.</w:t>
      </w:r>
      <w:r>
        <w:rPr>
          <w:szCs w:val="32"/>
        </w:rPr>
        <w:t>在丽高校、科研院所科研人员</w:t>
      </w:r>
      <w:r>
        <w:rPr>
          <w:rFonts w:hint="eastAsia"/>
          <w:szCs w:val="32"/>
        </w:rPr>
        <w:t>按照有关规定，</w:t>
      </w:r>
      <w:r>
        <w:rPr>
          <w:szCs w:val="32"/>
        </w:rPr>
        <w:t>经所在单</w:t>
      </w:r>
      <w:r>
        <w:rPr>
          <w:szCs w:val="32"/>
        </w:rPr>
        <w:lastRenderedPageBreak/>
        <w:t>位同意，可在职创业或兼职从事科技成果转化、技术攻关等，</w:t>
      </w:r>
      <w:r>
        <w:rPr>
          <w:rFonts w:hint="eastAsia"/>
          <w:szCs w:val="32"/>
        </w:rPr>
        <w:t>依法依规</w:t>
      </w:r>
      <w:r>
        <w:rPr>
          <w:szCs w:val="32"/>
        </w:rPr>
        <w:t>获得报酬。离岗在丽创业实施科技成果转化或在丽注册企业的科研人员，经所在单位同意，可在</w:t>
      </w:r>
      <w:r>
        <w:rPr>
          <w:szCs w:val="32"/>
        </w:rPr>
        <w:t>5</w:t>
      </w:r>
      <w:r>
        <w:rPr>
          <w:szCs w:val="32"/>
        </w:rPr>
        <w:t>年内保留人事关系，与原单位其他在岗人员同等享有参加职称评聘等权利，工龄连续计算，由原单位为其代缴离岗期间单位部分的养老、医疗等社会保险费用，返回原单位时保留原聘专业技术职务。</w:t>
      </w:r>
    </w:p>
    <w:p w:rsidR="000F7E59" w:rsidRDefault="000F7E59" w:rsidP="000F7E59">
      <w:pPr>
        <w:spacing w:line="600" w:lineRule="exact"/>
        <w:ind w:firstLineChars="200" w:firstLine="640"/>
        <w:rPr>
          <w:szCs w:val="32"/>
        </w:rPr>
      </w:pPr>
      <w:r>
        <w:rPr>
          <w:szCs w:val="32"/>
        </w:rPr>
        <w:t>1</w:t>
      </w:r>
      <w:r>
        <w:rPr>
          <w:rFonts w:hint="eastAsia"/>
          <w:szCs w:val="32"/>
        </w:rPr>
        <w:t>3</w:t>
      </w:r>
      <w:r>
        <w:rPr>
          <w:szCs w:val="32"/>
        </w:rPr>
        <w:t>.</w:t>
      </w:r>
      <w:r>
        <w:rPr>
          <w:szCs w:val="32"/>
        </w:rPr>
        <w:t>鼓励国有科技型企业对在科技创新中作出重要贡献的技术人员和经营管理人员实施以</w:t>
      </w:r>
      <w:r>
        <w:rPr>
          <w:rFonts w:hint="eastAsia"/>
          <w:szCs w:val="32"/>
        </w:rPr>
        <w:t>“</w:t>
      </w:r>
      <w:r>
        <w:rPr>
          <w:szCs w:val="32"/>
        </w:rPr>
        <w:t>技术股</w:t>
      </w:r>
      <w:r>
        <w:rPr>
          <w:szCs w:val="32"/>
        </w:rPr>
        <w:t>+</w:t>
      </w:r>
      <w:r>
        <w:rPr>
          <w:szCs w:val="32"/>
        </w:rPr>
        <w:t>现金股</w:t>
      </w:r>
      <w:r>
        <w:rPr>
          <w:rFonts w:hint="eastAsia"/>
          <w:szCs w:val="32"/>
        </w:rPr>
        <w:t>”</w:t>
      </w:r>
      <w:r>
        <w:rPr>
          <w:szCs w:val="32"/>
        </w:rPr>
        <w:t>混合型持有股权的捆绑股权激励。对国家高新技术企业或省级科技型中小企业的非上市公司授予本公司员工的股票期权、股权期权、限制性股票和股权奖励，符合规定条件的，经向主管税务机关备案，获得人可在取得股权激励时暂不纳税，递延至转让该股权时纳税，或一次缴纳个人所得税有困难的，允许</w:t>
      </w:r>
      <w:r>
        <w:rPr>
          <w:szCs w:val="32"/>
        </w:rPr>
        <w:t>5</w:t>
      </w:r>
      <w:r>
        <w:rPr>
          <w:szCs w:val="32"/>
        </w:rPr>
        <w:t>年内分期缴纳税款。</w:t>
      </w:r>
    </w:p>
    <w:p w:rsidR="000F7E59" w:rsidRDefault="000F7E59" w:rsidP="000F7E59">
      <w:pPr>
        <w:spacing w:line="600" w:lineRule="exact"/>
        <w:ind w:firstLineChars="200" w:firstLine="640"/>
        <w:rPr>
          <w:kern w:val="0"/>
          <w:szCs w:val="32"/>
          <w:highlight w:val="yellow"/>
        </w:rPr>
      </w:pPr>
      <w:r>
        <w:rPr>
          <w:kern w:val="0"/>
          <w:szCs w:val="32"/>
        </w:rPr>
        <w:t>1</w:t>
      </w:r>
      <w:r>
        <w:rPr>
          <w:rFonts w:hint="eastAsia"/>
          <w:kern w:val="0"/>
          <w:szCs w:val="32"/>
        </w:rPr>
        <w:t>4</w:t>
      </w:r>
      <w:r>
        <w:rPr>
          <w:kern w:val="0"/>
          <w:szCs w:val="32"/>
        </w:rPr>
        <w:t>.</w:t>
      </w:r>
      <w:r>
        <w:rPr>
          <w:kern w:val="0"/>
          <w:szCs w:val="32"/>
        </w:rPr>
        <w:t>对上年度研发投入超过</w:t>
      </w:r>
      <w:r>
        <w:rPr>
          <w:kern w:val="0"/>
          <w:szCs w:val="32"/>
        </w:rPr>
        <w:t>50</w:t>
      </w:r>
      <w:r>
        <w:rPr>
          <w:kern w:val="0"/>
          <w:szCs w:val="32"/>
        </w:rPr>
        <w:t>万元的企业，按其上年度研发投入的</w:t>
      </w:r>
      <w:r>
        <w:rPr>
          <w:kern w:val="0"/>
          <w:szCs w:val="32"/>
        </w:rPr>
        <w:t>5%</w:t>
      </w:r>
      <w:r>
        <w:rPr>
          <w:kern w:val="0"/>
          <w:szCs w:val="32"/>
        </w:rPr>
        <w:t>，给予不超过</w:t>
      </w:r>
      <w:r>
        <w:rPr>
          <w:kern w:val="0"/>
          <w:szCs w:val="32"/>
        </w:rPr>
        <w:t>100</w:t>
      </w:r>
      <w:r>
        <w:rPr>
          <w:kern w:val="0"/>
          <w:szCs w:val="32"/>
        </w:rPr>
        <w:t>万元的补助；对其较上年增量部分，再按</w:t>
      </w:r>
      <w:r>
        <w:rPr>
          <w:kern w:val="0"/>
          <w:szCs w:val="32"/>
        </w:rPr>
        <w:t>5%</w:t>
      </w:r>
      <w:r>
        <w:rPr>
          <w:kern w:val="0"/>
          <w:szCs w:val="32"/>
        </w:rPr>
        <w:t>的比例给予不超过</w:t>
      </w:r>
      <w:r>
        <w:rPr>
          <w:kern w:val="0"/>
          <w:szCs w:val="32"/>
        </w:rPr>
        <w:t>100</w:t>
      </w:r>
      <w:r>
        <w:rPr>
          <w:kern w:val="0"/>
          <w:szCs w:val="32"/>
        </w:rPr>
        <w:t>万元的补助。</w:t>
      </w:r>
    </w:p>
    <w:p w:rsidR="000F7E59" w:rsidRDefault="000F7E59" w:rsidP="000F7E59">
      <w:pPr>
        <w:spacing w:line="600" w:lineRule="exact"/>
        <w:ind w:firstLineChars="200" w:firstLine="640"/>
        <w:rPr>
          <w:kern w:val="0"/>
          <w:szCs w:val="32"/>
        </w:rPr>
      </w:pPr>
      <w:r>
        <w:rPr>
          <w:kern w:val="0"/>
          <w:szCs w:val="32"/>
        </w:rPr>
        <w:t>1</w:t>
      </w:r>
      <w:r>
        <w:rPr>
          <w:rFonts w:hint="eastAsia"/>
          <w:kern w:val="0"/>
          <w:szCs w:val="32"/>
        </w:rPr>
        <w:t>5</w:t>
      </w:r>
      <w:r>
        <w:rPr>
          <w:kern w:val="0"/>
          <w:szCs w:val="32"/>
        </w:rPr>
        <w:t>.</w:t>
      </w:r>
      <w:r>
        <w:rPr>
          <w:kern w:val="0"/>
          <w:szCs w:val="32"/>
        </w:rPr>
        <w:t>扩大创新券使用范围，将购买科技创新服务和技术成果、委托技术培训服务、</w:t>
      </w:r>
      <w:r>
        <w:rPr>
          <w:szCs w:val="32"/>
          <w:shd w:val="clear" w:color="auto" w:fill="FFFFFF"/>
        </w:rPr>
        <w:t>企业研发机构建设补助</w:t>
      </w:r>
      <w:r>
        <w:rPr>
          <w:kern w:val="0"/>
          <w:szCs w:val="32"/>
        </w:rPr>
        <w:t>等纳入支持范围，企业每年申领额度提高至最高</w:t>
      </w:r>
      <w:r>
        <w:rPr>
          <w:kern w:val="0"/>
          <w:szCs w:val="32"/>
        </w:rPr>
        <w:t>20</w:t>
      </w:r>
      <w:r>
        <w:rPr>
          <w:kern w:val="0"/>
          <w:szCs w:val="32"/>
        </w:rPr>
        <w:t>万元。对在市本级注册的市级创新载体，按其当年度实际兑付创新券总额超过</w:t>
      </w:r>
      <w:r>
        <w:rPr>
          <w:kern w:val="0"/>
          <w:szCs w:val="32"/>
        </w:rPr>
        <w:t>50</w:t>
      </w:r>
      <w:r>
        <w:rPr>
          <w:kern w:val="0"/>
          <w:szCs w:val="32"/>
        </w:rPr>
        <w:t>万元的部分给予不超过</w:t>
      </w:r>
      <w:r>
        <w:rPr>
          <w:kern w:val="0"/>
          <w:szCs w:val="32"/>
        </w:rPr>
        <w:t>30%</w:t>
      </w:r>
      <w:r>
        <w:rPr>
          <w:kern w:val="0"/>
          <w:szCs w:val="32"/>
        </w:rPr>
        <w:t>补助，最高不超过</w:t>
      </w:r>
      <w:r>
        <w:rPr>
          <w:kern w:val="0"/>
          <w:szCs w:val="32"/>
        </w:rPr>
        <w:t>100</w:t>
      </w:r>
      <w:r>
        <w:rPr>
          <w:kern w:val="0"/>
          <w:szCs w:val="32"/>
        </w:rPr>
        <w:t>万元。</w:t>
      </w:r>
    </w:p>
    <w:p w:rsidR="000F7E59" w:rsidRDefault="000F7E59" w:rsidP="00AA4E0C">
      <w:pPr>
        <w:spacing w:line="560" w:lineRule="exact"/>
        <w:ind w:firstLineChars="200" w:firstLine="640"/>
        <w:rPr>
          <w:kern w:val="0"/>
          <w:szCs w:val="32"/>
        </w:rPr>
      </w:pPr>
      <w:r>
        <w:rPr>
          <w:kern w:val="0"/>
          <w:szCs w:val="32"/>
        </w:rPr>
        <w:lastRenderedPageBreak/>
        <w:t>1</w:t>
      </w:r>
      <w:r>
        <w:rPr>
          <w:rFonts w:hint="eastAsia"/>
          <w:kern w:val="0"/>
          <w:szCs w:val="32"/>
        </w:rPr>
        <w:t>6</w:t>
      </w:r>
      <w:r>
        <w:rPr>
          <w:kern w:val="0"/>
          <w:szCs w:val="32"/>
        </w:rPr>
        <w:t>.</w:t>
      </w:r>
      <w:r>
        <w:rPr>
          <w:kern w:val="0"/>
          <w:szCs w:val="32"/>
        </w:rPr>
        <w:t>对专业化程度高、服务一致性连续性要求强、采购额</w:t>
      </w:r>
      <w:r>
        <w:rPr>
          <w:kern w:val="0"/>
          <w:szCs w:val="32"/>
        </w:rPr>
        <w:t>200</w:t>
      </w:r>
      <w:r>
        <w:rPr>
          <w:kern w:val="0"/>
          <w:szCs w:val="32"/>
        </w:rPr>
        <w:t>万元以下、纳入政府向社会力量购买服务指导性目录并符合相关要求的</w:t>
      </w:r>
      <w:r>
        <w:rPr>
          <w:rFonts w:hint="eastAsia"/>
          <w:kern w:val="0"/>
          <w:szCs w:val="32"/>
        </w:rPr>
        <w:t>科技</w:t>
      </w:r>
      <w:r>
        <w:rPr>
          <w:kern w:val="0"/>
          <w:szCs w:val="32"/>
        </w:rPr>
        <w:t>服务项目，可采取单一来源方式进行采购。</w:t>
      </w:r>
    </w:p>
    <w:p w:rsidR="000F7E59" w:rsidRDefault="000F7E59" w:rsidP="00AA4E0C">
      <w:pPr>
        <w:spacing w:line="560" w:lineRule="exact"/>
        <w:ind w:firstLineChars="200" w:firstLine="640"/>
        <w:rPr>
          <w:kern w:val="0"/>
          <w:szCs w:val="32"/>
        </w:rPr>
      </w:pPr>
      <w:r>
        <w:rPr>
          <w:rFonts w:hint="eastAsia"/>
          <w:kern w:val="0"/>
          <w:szCs w:val="32"/>
        </w:rPr>
        <w:t>17.</w:t>
      </w:r>
      <w:r>
        <w:rPr>
          <w:kern w:val="0"/>
          <w:szCs w:val="32"/>
        </w:rPr>
        <w:t>探索建立研发投入负激励机制，对达不到全市上年度规上工业企业研发投入平均水平的企业，不予推荐申报国家、省、市科技计划项目，不享受水、电、气优惠政策。</w:t>
      </w:r>
    </w:p>
    <w:p w:rsidR="000F7E59" w:rsidRDefault="000F7E59" w:rsidP="00AA4E0C">
      <w:pPr>
        <w:spacing w:line="560" w:lineRule="exact"/>
        <w:ind w:firstLineChars="200" w:firstLine="640"/>
        <w:rPr>
          <w:rFonts w:ascii="黑体" w:eastAsia="黑体" w:hAnsi="黑体" w:cs="黑体"/>
          <w:bCs/>
          <w:szCs w:val="32"/>
        </w:rPr>
      </w:pPr>
      <w:r>
        <w:rPr>
          <w:rFonts w:ascii="黑体" w:eastAsia="黑体" w:hAnsi="黑体" w:cs="黑体" w:hint="eastAsia"/>
          <w:bCs/>
          <w:szCs w:val="32"/>
        </w:rPr>
        <w:t>五、推进科技金融深度融合</w:t>
      </w:r>
    </w:p>
    <w:p w:rsidR="000F7E59" w:rsidRDefault="000F7E59" w:rsidP="00AA4E0C">
      <w:pPr>
        <w:spacing w:line="560" w:lineRule="exact"/>
        <w:ind w:firstLineChars="200" w:firstLine="640"/>
        <w:rPr>
          <w:kern w:val="0"/>
          <w:szCs w:val="32"/>
        </w:rPr>
      </w:pPr>
      <w:r>
        <w:rPr>
          <w:rFonts w:hint="eastAsia"/>
          <w:kern w:val="0"/>
          <w:szCs w:val="32"/>
        </w:rPr>
        <w:t>18.</w:t>
      </w:r>
      <w:r>
        <w:rPr>
          <w:kern w:val="0"/>
          <w:szCs w:val="32"/>
        </w:rPr>
        <w:t>鼓励市</w:t>
      </w:r>
      <w:r w:rsidR="00700CCC">
        <w:rPr>
          <w:rFonts w:hint="eastAsia"/>
          <w:kern w:val="0"/>
          <w:szCs w:val="32"/>
        </w:rPr>
        <w:t>本</w:t>
      </w:r>
      <w:r>
        <w:rPr>
          <w:kern w:val="0"/>
          <w:szCs w:val="32"/>
        </w:rPr>
        <w:t>级、各县（市、区）探索设立科技创新引领基金，逐步形成创业投资引导基金体系。</w:t>
      </w:r>
    </w:p>
    <w:p w:rsidR="000F7E59" w:rsidRDefault="000F7E59" w:rsidP="00AA4E0C">
      <w:pPr>
        <w:spacing w:line="560" w:lineRule="exact"/>
        <w:ind w:firstLineChars="200" w:firstLine="640"/>
        <w:rPr>
          <w:kern w:val="0"/>
          <w:szCs w:val="32"/>
        </w:rPr>
      </w:pPr>
      <w:r>
        <w:rPr>
          <w:rFonts w:hint="eastAsia"/>
          <w:kern w:val="0"/>
          <w:szCs w:val="32"/>
        </w:rPr>
        <w:t>19.</w:t>
      </w:r>
      <w:r>
        <w:rPr>
          <w:kern w:val="0"/>
          <w:szCs w:val="32"/>
        </w:rPr>
        <w:t>对新认定的国家高新技术企业、省级科技型中小企业（农业科技企业）上年度获得的银行贷款，按不高于银行同期基准贷款利率的</w:t>
      </w:r>
      <w:r>
        <w:rPr>
          <w:kern w:val="0"/>
          <w:szCs w:val="32"/>
        </w:rPr>
        <w:t>50%</w:t>
      </w:r>
      <w:r>
        <w:rPr>
          <w:kern w:val="0"/>
          <w:szCs w:val="32"/>
        </w:rPr>
        <w:t>给予贴息扶持，每家企业分别不超过</w:t>
      </w:r>
      <w:r>
        <w:rPr>
          <w:kern w:val="0"/>
          <w:szCs w:val="32"/>
        </w:rPr>
        <w:t>20</w:t>
      </w:r>
      <w:r>
        <w:rPr>
          <w:kern w:val="0"/>
          <w:szCs w:val="32"/>
        </w:rPr>
        <w:t>万元、</w:t>
      </w:r>
      <w:r>
        <w:rPr>
          <w:kern w:val="0"/>
          <w:szCs w:val="32"/>
        </w:rPr>
        <w:t>10</w:t>
      </w:r>
      <w:r>
        <w:rPr>
          <w:kern w:val="0"/>
          <w:szCs w:val="32"/>
        </w:rPr>
        <w:t>万元。</w:t>
      </w:r>
    </w:p>
    <w:p w:rsidR="000F7E59" w:rsidRDefault="000F7E59" w:rsidP="00AA4E0C">
      <w:pPr>
        <w:spacing w:line="560" w:lineRule="exact"/>
        <w:ind w:firstLineChars="200" w:firstLine="640"/>
        <w:rPr>
          <w:kern w:val="0"/>
          <w:szCs w:val="32"/>
        </w:rPr>
      </w:pPr>
      <w:r>
        <w:rPr>
          <w:rFonts w:hint="eastAsia"/>
          <w:kern w:val="0"/>
          <w:szCs w:val="32"/>
        </w:rPr>
        <w:t>20.</w:t>
      </w:r>
      <w:r>
        <w:rPr>
          <w:rFonts w:hint="eastAsia"/>
          <w:kern w:val="0"/>
          <w:szCs w:val="32"/>
        </w:rPr>
        <w:t>企业利用专利权、商标专用权进行质押贷款的，按不高于银行同期基准贷款利率的</w:t>
      </w:r>
      <w:r>
        <w:rPr>
          <w:rFonts w:hint="eastAsia"/>
          <w:kern w:val="0"/>
          <w:szCs w:val="32"/>
        </w:rPr>
        <w:t>50%</w:t>
      </w:r>
      <w:r>
        <w:rPr>
          <w:rFonts w:hint="eastAsia"/>
          <w:kern w:val="0"/>
          <w:szCs w:val="32"/>
        </w:rPr>
        <w:t>给予贴息扶持，</w:t>
      </w:r>
      <w:r>
        <w:rPr>
          <w:kern w:val="0"/>
          <w:szCs w:val="32"/>
        </w:rPr>
        <w:t>每家</w:t>
      </w:r>
      <w:r>
        <w:rPr>
          <w:rFonts w:hint="eastAsia"/>
          <w:kern w:val="0"/>
          <w:szCs w:val="32"/>
        </w:rPr>
        <w:t>企业最高不超过</w:t>
      </w:r>
      <w:r>
        <w:rPr>
          <w:rFonts w:hint="eastAsia"/>
          <w:kern w:val="0"/>
          <w:szCs w:val="32"/>
        </w:rPr>
        <w:t>20</w:t>
      </w:r>
      <w:r>
        <w:rPr>
          <w:rFonts w:hint="eastAsia"/>
          <w:kern w:val="0"/>
          <w:szCs w:val="32"/>
        </w:rPr>
        <w:t>万元。</w:t>
      </w:r>
    </w:p>
    <w:p w:rsidR="000F7E59" w:rsidRDefault="000F7E59" w:rsidP="00AA4E0C">
      <w:pPr>
        <w:spacing w:line="560" w:lineRule="exact"/>
        <w:ind w:firstLineChars="200" w:firstLine="640"/>
        <w:rPr>
          <w:rFonts w:ascii="黑体" w:eastAsia="黑体" w:hAnsi="黑体" w:cs="黑体"/>
          <w:bCs/>
          <w:szCs w:val="32"/>
        </w:rPr>
      </w:pPr>
      <w:r>
        <w:rPr>
          <w:rFonts w:ascii="黑体" w:eastAsia="黑体" w:hAnsi="黑体" w:cs="黑体" w:hint="eastAsia"/>
          <w:bCs/>
          <w:szCs w:val="32"/>
        </w:rPr>
        <w:t>六、鼓励知识产权创造运用</w:t>
      </w:r>
    </w:p>
    <w:p w:rsidR="000F7E59" w:rsidRDefault="000F7E59" w:rsidP="00AA4E0C">
      <w:pPr>
        <w:spacing w:line="560" w:lineRule="exact"/>
        <w:ind w:firstLineChars="200" w:firstLine="640"/>
        <w:rPr>
          <w:kern w:val="0"/>
          <w:szCs w:val="32"/>
        </w:rPr>
      </w:pPr>
      <w:r>
        <w:rPr>
          <w:rFonts w:hint="eastAsia"/>
          <w:kern w:val="0"/>
          <w:szCs w:val="32"/>
        </w:rPr>
        <w:t>21.</w:t>
      </w:r>
      <w:r>
        <w:rPr>
          <w:rFonts w:hint="eastAsia"/>
          <w:kern w:val="0"/>
          <w:szCs w:val="32"/>
        </w:rPr>
        <w:t>企业通过专利代理机构获得国内发明、实用新型专利授权的，每件分别给予</w:t>
      </w:r>
      <w:r>
        <w:rPr>
          <w:rFonts w:hint="eastAsia"/>
          <w:kern w:val="0"/>
          <w:szCs w:val="32"/>
        </w:rPr>
        <w:t>1</w:t>
      </w:r>
      <w:r>
        <w:rPr>
          <w:rFonts w:hint="eastAsia"/>
          <w:kern w:val="0"/>
          <w:szCs w:val="32"/>
        </w:rPr>
        <w:t>万元、</w:t>
      </w:r>
      <w:r>
        <w:rPr>
          <w:rFonts w:hint="eastAsia"/>
          <w:kern w:val="0"/>
          <w:szCs w:val="32"/>
        </w:rPr>
        <w:t>0.2</w:t>
      </w:r>
      <w:r>
        <w:rPr>
          <w:rFonts w:hint="eastAsia"/>
          <w:kern w:val="0"/>
          <w:szCs w:val="32"/>
        </w:rPr>
        <w:t>万元补助；个人、社会团体通过专利代理机构获得国内发明、实用新型专利授权的，每件分别给予</w:t>
      </w:r>
      <w:r>
        <w:rPr>
          <w:rFonts w:hint="eastAsia"/>
          <w:kern w:val="0"/>
          <w:szCs w:val="32"/>
        </w:rPr>
        <w:t>0.5</w:t>
      </w:r>
      <w:r>
        <w:rPr>
          <w:rFonts w:hint="eastAsia"/>
          <w:kern w:val="0"/>
          <w:szCs w:val="32"/>
        </w:rPr>
        <w:t>万元、</w:t>
      </w:r>
      <w:r>
        <w:rPr>
          <w:rFonts w:hint="eastAsia"/>
          <w:kern w:val="0"/>
          <w:szCs w:val="32"/>
        </w:rPr>
        <w:t>0.1</w:t>
      </w:r>
      <w:r>
        <w:rPr>
          <w:rFonts w:hint="eastAsia"/>
          <w:kern w:val="0"/>
          <w:szCs w:val="32"/>
        </w:rPr>
        <w:t>万元补助。未经专利代理机构获得授权的，在前款基础上减半享受。通过</w:t>
      </w:r>
      <w:r>
        <w:rPr>
          <w:rFonts w:hint="eastAsia"/>
          <w:kern w:val="0"/>
          <w:szCs w:val="32"/>
        </w:rPr>
        <w:t>PCT</w:t>
      </w:r>
      <w:r>
        <w:rPr>
          <w:rFonts w:hint="eastAsia"/>
          <w:kern w:val="0"/>
          <w:szCs w:val="32"/>
        </w:rPr>
        <w:t>申请国外专利的给予</w:t>
      </w:r>
      <w:r>
        <w:rPr>
          <w:rFonts w:hint="eastAsia"/>
          <w:kern w:val="0"/>
          <w:szCs w:val="32"/>
        </w:rPr>
        <w:t>1.5</w:t>
      </w:r>
      <w:r>
        <w:rPr>
          <w:rFonts w:hint="eastAsia"/>
          <w:kern w:val="0"/>
          <w:szCs w:val="32"/>
        </w:rPr>
        <w:t>万元补助（含省级补助）。在美国、日本和欧洲专利局获得发明</w:t>
      </w:r>
      <w:r>
        <w:rPr>
          <w:rFonts w:hint="eastAsia"/>
          <w:kern w:val="0"/>
          <w:szCs w:val="32"/>
        </w:rPr>
        <w:lastRenderedPageBreak/>
        <w:t>专利授权的，每件补助</w:t>
      </w:r>
      <w:r>
        <w:rPr>
          <w:rFonts w:hint="eastAsia"/>
          <w:kern w:val="0"/>
          <w:szCs w:val="32"/>
        </w:rPr>
        <w:t>3</w:t>
      </w:r>
      <w:r>
        <w:rPr>
          <w:rFonts w:hint="eastAsia"/>
          <w:kern w:val="0"/>
          <w:szCs w:val="32"/>
        </w:rPr>
        <w:t>万元；其</w:t>
      </w:r>
      <w:r w:rsidR="00700CCC">
        <w:rPr>
          <w:rFonts w:hint="eastAsia"/>
          <w:kern w:val="0"/>
          <w:szCs w:val="32"/>
        </w:rPr>
        <w:t>他</w:t>
      </w:r>
      <w:r>
        <w:rPr>
          <w:rFonts w:hint="eastAsia"/>
          <w:kern w:val="0"/>
          <w:szCs w:val="32"/>
        </w:rPr>
        <w:t>国家和地区（包括港澳台）减半享受。对同一发明限资助一个国家或地区。支持企业进行国际商标注册，对申请马德里国际商标注册并被核准的，按每件核准商标注册费的</w:t>
      </w:r>
      <w:r>
        <w:rPr>
          <w:rFonts w:hint="eastAsia"/>
          <w:kern w:val="0"/>
          <w:szCs w:val="32"/>
        </w:rPr>
        <w:t>50%</w:t>
      </w:r>
      <w:r>
        <w:rPr>
          <w:rFonts w:hint="eastAsia"/>
          <w:kern w:val="0"/>
          <w:szCs w:val="32"/>
        </w:rPr>
        <w:t>给予补助，每家企业每年最高不超过</w:t>
      </w:r>
      <w:r>
        <w:rPr>
          <w:rFonts w:hint="eastAsia"/>
          <w:kern w:val="0"/>
          <w:szCs w:val="32"/>
        </w:rPr>
        <w:t>5</w:t>
      </w:r>
      <w:r>
        <w:rPr>
          <w:rFonts w:hint="eastAsia"/>
          <w:kern w:val="0"/>
          <w:szCs w:val="32"/>
        </w:rPr>
        <w:t>万元；单一国家注册并被核准的，按每件核准商标注册费的</w:t>
      </w:r>
      <w:r>
        <w:rPr>
          <w:rFonts w:hint="eastAsia"/>
          <w:kern w:val="0"/>
          <w:szCs w:val="32"/>
        </w:rPr>
        <w:t>30%</w:t>
      </w:r>
      <w:r>
        <w:rPr>
          <w:rFonts w:hint="eastAsia"/>
          <w:kern w:val="0"/>
          <w:szCs w:val="32"/>
        </w:rPr>
        <w:t>给予补助，每家企业每年最高不超过</w:t>
      </w:r>
      <w:r>
        <w:rPr>
          <w:rFonts w:hint="eastAsia"/>
          <w:kern w:val="0"/>
          <w:szCs w:val="32"/>
        </w:rPr>
        <w:t>3</w:t>
      </w:r>
      <w:r>
        <w:rPr>
          <w:rFonts w:hint="eastAsia"/>
          <w:kern w:val="0"/>
          <w:szCs w:val="32"/>
        </w:rPr>
        <w:t>万元。</w:t>
      </w:r>
    </w:p>
    <w:p w:rsidR="000F7E59" w:rsidRPr="00700CCC" w:rsidRDefault="000F7E59" w:rsidP="00AA4E0C">
      <w:pPr>
        <w:spacing w:line="560" w:lineRule="exact"/>
        <w:ind w:firstLineChars="200" w:firstLine="640"/>
        <w:rPr>
          <w:spacing w:val="-4"/>
          <w:kern w:val="0"/>
          <w:szCs w:val="32"/>
        </w:rPr>
      </w:pPr>
      <w:r>
        <w:rPr>
          <w:rFonts w:hint="eastAsia"/>
          <w:kern w:val="0"/>
          <w:szCs w:val="32"/>
        </w:rPr>
        <w:t>22.</w:t>
      </w:r>
      <w:r>
        <w:rPr>
          <w:rFonts w:hint="eastAsia"/>
          <w:kern w:val="0"/>
          <w:szCs w:val="32"/>
        </w:rPr>
        <w:t>对国内发明专利授权后，有效期当年满</w:t>
      </w:r>
      <w:r>
        <w:rPr>
          <w:rFonts w:hint="eastAsia"/>
          <w:kern w:val="0"/>
          <w:szCs w:val="32"/>
        </w:rPr>
        <w:t>6</w:t>
      </w:r>
      <w:r>
        <w:rPr>
          <w:rFonts w:hint="eastAsia"/>
          <w:kern w:val="0"/>
          <w:szCs w:val="32"/>
        </w:rPr>
        <w:t>年的发明专利，给予一次性年费补助</w:t>
      </w:r>
      <w:r>
        <w:rPr>
          <w:rFonts w:hint="eastAsia"/>
          <w:kern w:val="0"/>
          <w:szCs w:val="32"/>
        </w:rPr>
        <w:t>0.15</w:t>
      </w:r>
      <w:r>
        <w:rPr>
          <w:rFonts w:hint="eastAsia"/>
          <w:kern w:val="0"/>
          <w:szCs w:val="32"/>
        </w:rPr>
        <w:t>万元；有效期</w:t>
      </w:r>
      <w:r>
        <w:rPr>
          <w:rFonts w:hint="eastAsia"/>
          <w:kern w:val="0"/>
          <w:szCs w:val="32"/>
        </w:rPr>
        <w:t>6</w:t>
      </w:r>
      <w:r>
        <w:rPr>
          <w:rFonts w:hint="eastAsia"/>
          <w:kern w:val="0"/>
          <w:szCs w:val="32"/>
        </w:rPr>
        <w:t>年以上的发明专利，第</w:t>
      </w:r>
      <w:r>
        <w:rPr>
          <w:rFonts w:hint="eastAsia"/>
          <w:kern w:val="0"/>
          <w:szCs w:val="32"/>
        </w:rPr>
        <w:t>7-9</w:t>
      </w:r>
      <w:r>
        <w:rPr>
          <w:rFonts w:hint="eastAsia"/>
          <w:kern w:val="0"/>
          <w:szCs w:val="32"/>
        </w:rPr>
        <w:t>年每年补助所缴年费的</w:t>
      </w:r>
      <w:r>
        <w:rPr>
          <w:rFonts w:hint="eastAsia"/>
          <w:kern w:val="0"/>
          <w:szCs w:val="32"/>
        </w:rPr>
        <w:t>30%</w:t>
      </w:r>
      <w:r>
        <w:rPr>
          <w:rFonts w:hint="eastAsia"/>
          <w:kern w:val="0"/>
          <w:szCs w:val="32"/>
        </w:rPr>
        <w:t>；有效期</w:t>
      </w:r>
      <w:r>
        <w:rPr>
          <w:rFonts w:hint="eastAsia"/>
          <w:kern w:val="0"/>
          <w:szCs w:val="32"/>
        </w:rPr>
        <w:t>9</w:t>
      </w:r>
      <w:r>
        <w:rPr>
          <w:rFonts w:hint="eastAsia"/>
          <w:kern w:val="0"/>
          <w:szCs w:val="32"/>
        </w:rPr>
        <w:t>年以上的发明专</w:t>
      </w:r>
      <w:r w:rsidRPr="00700CCC">
        <w:rPr>
          <w:rFonts w:hint="eastAsia"/>
          <w:spacing w:val="-4"/>
          <w:kern w:val="0"/>
          <w:szCs w:val="32"/>
        </w:rPr>
        <w:t>利，</w:t>
      </w:r>
      <w:r w:rsidRPr="00700CCC">
        <w:rPr>
          <w:rFonts w:hint="eastAsia"/>
          <w:spacing w:val="-4"/>
          <w:kern w:val="0"/>
          <w:szCs w:val="32"/>
        </w:rPr>
        <w:t>10-15</w:t>
      </w:r>
      <w:r w:rsidRPr="00700CCC">
        <w:rPr>
          <w:rFonts w:hint="eastAsia"/>
          <w:spacing w:val="-4"/>
          <w:kern w:val="0"/>
          <w:szCs w:val="32"/>
        </w:rPr>
        <w:t>年每年补助所缴年费的</w:t>
      </w:r>
      <w:r w:rsidRPr="00700CCC">
        <w:rPr>
          <w:rFonts w:hint="eastAsia"/>
          <w:spacing w:val="-4"/>
          <w:kern w:val="0"/>
          <w:szCs w:val="32"/>
        </w:rPr>
        <w:t>50%</w:t>
      </w:r>
      <w:r w:rsidRPr="00700CCC">
        <w:rPr>
          <w:rFonts w:hint="eastAsia"/>
          <w:spacing w:val="-4"/>
          <w:kern w:val="0"/>
          <w:szCs w:val="32"/>
        </w:rPr>
        <w:t>。以上经费均含省级补助。</w:t>
      </w:r>
    </w:p>
    <w:p w:rsidR="000F7E59" w:rsidRDefault="000F7E59" w:rsidP="00AA4E0C">
      <w:pPr>
        <w:spacing w:line="560" w:lineRule="exact"/>
        <w:ind w:firstLineChars="200" w:firstLine="640"/>
        <w:rPr>
          <w:kern w:val="0"/>
          <w:szCs w:val="32"/>
        </w:rPr>
      </w:pPr>
      <w:r>
        <w:rPr>
          <w:rFonts w:hint="eastAsia"/>
          <w:kern w:val="0"/>
          <w:szCs w:val="32"/>
        </w:rPr>
        <w:t>23.</w:t>
      </w:r>
      <w:r>
        <w:rPr>
          <w:rFonts w:hint="eastAsia"/>
          <w:kern w:val="0"/>
          <w:szCs w:val="32"/>
        </w:rPr>
        <w:t>每年对市级及以上知识产权工作指导（服务）机构进行绩效考评，对考评优秀、合格的分别给予</w:t>
      </w:r>
      <w:r>
        <w:rPr>
          <w:rFonts w:hint="eastAsia"/>
          <w:kern w:val="0"/>
          <w:szCs w:val="32"/>
        </w:rPr>
        <w:t>10</w:t>
      </w:r>
      <w:r>
        <w:rPr>
          <w:rFonts w:hint="eastAsia"/>
          <w:kern w:val="0"/>
          <w:szCs w:val="32"/>
        </w:rPr>
        <w:t>万元、</w:t>
      </w:r>
      <w:r>
        <w:rPr>
          <w:rFonts w:hint="eastAsia"/>
          <w:kern w:val="0"/>
          <w:szCs w:val="32"/>
        </w:rPr>
        <w:t>5</w:t>
      </w:r>
      <w:r>
        <w:rPr>
          <w:rFonts w:hint="eastAsia"/>
          <w:kern w:val="0"/>
          <w:szCs w:val="32"/>
        </w:rPr>
        <w:t>万元绩效奖励。每年对通过备案的市本级专利代理机构进行绩效考评，考评优秀的给予</w:t>
      </w:r>
      <w:r>
        <w:rPr>
          <w:rFonts w:hint="eastAsia"/>
          <w:kern w:val="0"/>
          <w:szCs w:val="32"/>
        </w:rPr>
        <w:t>3</w:t>
      </w:r>
      <w:r>
        <w:rPr>
          <w:rFonts w:hint="eastAsia"/>
          <w:kern w:val="0"/>
          <w:szCs w:val="32"/>
        </w:rPr>
        <w:t>万元奖励，资金主要用于奖励入驻人员。每年度安排经费用于支持丽水市知识产权人才培养基地建设及运行工作。</w:t>
      </w:r>
    </w:p>
    <w:p w:rsidR="000F7E59" w:rsidRDefault="000F7E59" w:rsidP="00AA4E0C">
      <w:pPr>
        <w:spacing w:line="560" w:lineRule="exact"/>
        <w:ind w:firstLineChars="200" w:firstLine="640"/>
        <w:rPr>
          <w:kern w:val="0"/>
          <w:szCs w:val="32"/>
        </w:rPr>
      </w:pPr>
      <w:r>
        <w:rPr>
          <w:rFonts w:hint="eastAsia"/>
          <w:kern w:val="0"/>
          <w:szCs w:val="32"/>
        </w:rPr>
        <w:t>24.</w:t>
      </w:r>
      <w:r>
        <w:rPr>
          <w:rFonts w:hint="eastAsia"/>
          <w:kern w:val="0"/>
          <w:szCs w:val="32"/>
        </w:rPr>
        <w:t>对制造业企业首次累计拥有有效专利</w:t>
      </w:r>
      <w:r>
        <w:rPr>
          <w:rFonts w:hint="eastAsia"/>
          <w:kern w:val="0"/>
          <w:szCs w:val="32"/>
        </w:rPr>
        <w:t>50</w:t>
      </w:r>
      <w:r>
        <w:rPr>
          <w:rFonts w:hint="eastAsia"/>
          <w:kern w:val="0"/>
          <w:szCs w:val="32"/>
        </w:rPr>
        <w:t>件以上（且发明专利</w:t>
      </w:r>
      <w:r>
        <w:rPr>
          <w:rFonts w:hint="eastAsia"/>
          <w:kern w:val="0"/>
          <w:szCs w:val="32"/>
        </w:rPr>
        <w:t>3</w:t>
      </w:r>
      <w:r>
        <w:rPr>
          <w:rFonts w:hint="eastAsia"/>
          <w:kern w:val="0"/>
          <w:szCs w:val="32"/>
        </w:rPr>
        <w:t>件以上）或有效发明专利</w:t>
      </w:r>
      <w:r>
        <w:rPr>
          <w:rFonts w:hint="eastAsia"/>
          <w:kern w:val="0"/>
          <w:szCs w:val="32"/>
        </w:rPr>
        <w:t>8</w:t>
      </w:r>
      <w:r>
        <w:rPr>
          <w:rFonts w:hint="eastAsia"/>
          <w:kern w:val="0"/>
          <w:szCs w:val="32"/>
        </w:rPr>
        <w:t>件以上的奖励</w:t>
      </w:r>
      <w:r>
        <w:rPr>
          <w:rFonts w:hint="eastAsia"/>
          <w:kern w:val="0"/>
          <w:szCs w:val="32"/>
        </w:rPr>
        <w:t>5</w:t>
      </w:r>
      <w:r>
        <w:rPr>
          <w:rFonts w:hint="eastAsia"/>
          <w:kern w:val="0"/>
          <w:szCs w:val="32"/>
        </w:rPr>
        <w:t>万元；制造业企业首次累计拥有有效专利</w:t>
      </w:r>
      <w:r>
        <w:rPr>
          <w:rFonts w:hint="eastAsia"/>
          <w:kern w:val="0"/>
          <w:szCs w:val="32"/>
        </w:rPr>
        <w:t>100</w:t>
      </w:r>
      <w:r>
        <w:rPr>
          <w:rFonts w:hint="eastAsia"/>
          <w:kern w:val="0"/>
          <w:szCs w:val="32"/>
        </w:rPr>
        <w:t>件以上（且发明专利</w:t>
      </w:r>
      <w:r>
        <w:rPr>
          <w:rFonts w:hint="eastAsia"/>
          <w:kern w:val="0"/>
          <w:szCs w:val="32"/>
        </w:rPr>
        <w:t>5</w:t>
      </w:r>
      <w:r>
        <w:rPr>
          <w:rFonts w:hint="eastAsia"/>
          <w:kern w:val="0"/>
          <w:szCs w:val="32"/>
        </w:rPr>
        <w:t>件以上）或有效发明专利</w:t>
      </w:r>
      <w:r>
        <w:rPr>
          <w:rFonts w:hint="eastAsia"/>
          <w:kern w:val="0"/>
          <w:szCs w:val="32"/>
        </w:rPr>
        <w:t>15</w:t>
      </w:r>
      <w:r>
        <w:rPr>
          <w:rFonts w:hint="eastAsia"/>
          <w:kern w:val="0"/>
          <w:szCs w:val="32"/>
        </w:rPr>
        <w:t>件以上的奖励</w:t>
      </w:r>
      <w:r>
        <w:rPr>
          <w:rFonts w:hint="eastAsia"/>
          <w:kern w:val="0"/>
          <w:szCs w:val="32"/>
        </w:rPr>
        <w:t>10</w:t>
      </w:r>
      <w:r>
        <w:rPr>
          <w:rFonts w:hint="eastAsia"/>
          <w:kern w:val="0"/>
          <w:szCs w:val="32"/>
        </w:rPr>
        <w:t>万元。对获国家、省专利奖（外观设计专利奖）的专利权人，按上级实发奖金给予等额配套奖励。通过国家、省、市专利行政主管部门备案的知识产权联盟，分别给予一次性</w:t>
      </w:r>
      <w:r>
        <w:rPr>
          <w:rFonts w:hint="eastAsia"/>
          <w:kern w:val="0"/>
          <w:szCs w:val="32"/>
        </w:rPr>
        <w:t>15</w:t>
      </w:r>
      <w:r>
        <w:rPr>
          <w:rFonts w:hint="eastAsia"/>
          <w:kern w:val="0"/>
          <w:szCs w:val="32"/>
        </w:rPr>
        <w:t>万元、</w:t>
      </w:r>
      <w:r>
        <w:rPr>
          <w:rFonts w:hint="eastAsia"/>
          <w:kern w:val="0"/>
          <w:szCs w:val="32"/>
        </w:rPr>
        <w:t>10</w:t>
      </w:r>
      <w:r>
        <w:rPr>
          <w:rFonts w:hint="eastAsia"/>
          <w:kern w:val="0"/>
          <w:szCs w:val="32"/>
        </w:rPr>
        <w:t>万元、</w:t>
      </w:r>
      <w:r>
        <w:rPr>
          <w:rFonts w:hint="eastAsia"/>
          <w:kern w:val="0"/>
          <w:szCs w:val="32"/>
        </w:rPr>
        <w:t>5</w:t>
      </w:r>
      <w:r>
        <w:rPr>
          <w:rFonts w:hint="eastAsia"/>
          <w:kern w:val="0"/>
          <w:szCs w:val="32"/>
        </w:rPr>
        <w:t>万元奖励。</w:t>
      </w:r>
    </w:p>
    <w:p w:rsidR="000F7E59" w:rsidRDefault="000F7E59" w:rsidP="00AA4E0C">
      <w:pPr>
        <w:spacing w:line="560" w:lineRule="exact"/>
        <w:ind w:firstLineChars="200" w:firstLine="640"/>
        <w:rPr>
          <w:kern w:val="0"/>
          <w:szCs w:val="32"/>
        </w:rPr>
      </w:pPr>
      <w:r>
        <w:rPr>
          <w:rFonts w:hint="eastAsia"/>
          <w:kern w:val="0"/>
          <w:szCs w:val="32"/>
        </w:rPr>
        <w:lastRenderedPageBreak/>
        <w:t>25.</w:t>
      </w:r>
      <w:r>
        <w:rPr>
          <w:rFonts w:hint="eastAsia"/>
          <w:kern w:val="0"/>
          <w:szCs w:val="32"/>
        </w:rPr>
        <w:t>对企业通过《企业知识产权管理规范》国家贯标审核认证的或通过浙江省企业知识产权卓越管理评价的，给予一次性</w:t>
      </w:r>
      <w:r>
        <w:rPr>
          <w:rFonts w:hint="eastAsia"/>
          <w:kern w:val="0"/>
          <w:szCs w:val="32"/>
        </w:rPr>
        <w:t>5</w:t>
      </w:r>
      <w:r>
        <w:rPr>
          <w:rFonts w:hint="eastAsia"/>
          <w:kern w:val="0"/>
          <w:szCs w:val="32"/>
        </w:rPr>
        <w:t>万元补助。对新认定的国家知识产权示范企业、优势企业，分别给予一次性</w:t>
      </w:r>
      <w:r>
        <w:rPr>
          <w:rFonts w:hint="eastAsia"/>
          <w:kern w:val="0"/>
          <w:szCs w:val="32"/>
        </w:rPr>
        <w:t>20</w:t>
      </w:r>
      <w:r>
        <w:rPr>
          <w:rFonts w:hint="eastAsia"/>
          <w:kern w:val="0"/>
          <w:szCs w:val="32"/>
        </w:rPr>
        <w:t>万元、</w:t>
      </w:r>
      <w:r>
        <w:rPr>
          <w:rFonts w:hint="eastAsia"/>
          <w:kern w:val="0"/>
          <w:szCs w:val="32"/>
        </w:rPr>
        <w:t>10</w:t>
      </w:r>
      <w:r>
        <w:rPr>
          <w:rFonts w:hint="eastAsia"/>
          <w:kern w:val="0"/>
          <w:szCs w:val="32"/>
        </w:rPr>
        <w:t>万元补助；对新认定的省级专利示范企业给予一次性</w:t>
      </w:r>
      <w:r>
        <w:rPr>
          <w:rFonts w:hint="eastAsia"/>
          <w:kern w:val="0"/>
          <w:szCs w:val="32"/>
        </w:rPr>
        <w:t>10</w:t>
      </w:r>
      <w:r>
        <w:rPr>
          <w:rFonts w:hint="eastAsia"/>
          <w:kern w:val="0"/>
          <w:szCs w:val="32"/>
        </w:rPr>
        <w:t>万元补助；对新认定的市级知识产权示范企业给予一次性</w:t>
      </w:r>
      <w:r>
        <w:rPr>
          <w:rFonts w:hint="eastAsia"/>
          <w:kern w:val="0"/>
          <w:szCs w:val="32"/>
        </w:rPr>
        <w:t>5</w:t>
      </w:r>
      <w:r>
        <w:rPr>
          <w:rFonts w:hint="eastAsia"/>
          <w:kern w:val="0"/>
          <w:szCs w:val="32"/>
        </w:rPr>
        <w:t>万元补助。</w:t>
      </w:r>
    </w:p>
    <w:p w:rsidR="000F7E59" w:rsidRDefault="000F7E59" w:rsidP="00AA4E0C">
      <w:pPr>
        <w:spacing w:line="560" w:lineRule="exact"/>
        <w:ind w:firstLineChars="200" w:firstLine="640"/>
        <w:rPr>
          <w:kern w:val="0"/>
          <w:szCs w:val="32"/>
        </w:rPr>
      </w:pPr>
      <w:r>
        <w:rPr>
          <w:rFonts w:hint="eastAsia"/>
          <w:kern w:val="0"/>
          <w:szCs w:val="32"/>
        </w:rPr>
        <w:t>26.</w:t>
      </w:r>
      <w:r>
        <w:rPr>
          <w:rFonts w:hint="eastAsia"/>
          <w:kern w:val="0"/>
          <w:szCs w:val="32"/>
        </w:rPr>
        <w:t>对新获得专利代理师资格且社保在市本级范围内连续缴纳</w:t>
      </w:r>
      <w:r>
        <w:rPr>
          <w:rFonts w:hint="eastAsia"/>
          <w:kern w:val="0"/>
          <w:szCs w:val="32"/>
        </w:rPr>
        <w:t>1</w:t>
      </w:r>
      <w:r>
        <w:rPr>
          <w:rFonts w:hint="eastAsia"/>
          <w:kern w:val="0"/>
          <w:szCs w:val="32"/>
        </w:rPr>
        <w:t>年以上的企业工作人员给予一次性</w:t>
      </w:r>
      <w:r>
        <w:rPr>
          <w:rFonts w:hint="eastAsia"/>
          <w:kern w:val="0"/>
          <w:szCs w:val="32"/>
        </w:rPr>
        <w:t>1</w:t>
      </w:r>
      <w:r>
        <w:rPr>
          <w:rFonts w:hint="eastAsia"/>
          <w:kern w:val="0"/>
          <w:szCs w:val="32"/>
        </w:rPr>
        <w:t>万元补助。企业依法积极参加涉外专利的诉讼，对诉讼结果取得胜诉的案件，市本级企业每起案件给予</w:t>
      </w:r>
      <w:r>
        <w:rPr>
          <w:rFonts w:hint="eastAsia"/>
          <w:kern w:val="0"/>
          <w:szCs w:val="32"/>
        </w:rPr>
        <w:t>50%</w:t>
      </w:r>
      <w:r>
        <w:rPr>
          <w:rFonts w:hint="eastAsia"/>
          <w:kern w:val="0"/>
          <w:szCs w:val="32"/>
        </w:rPr>
        <w:t>诉讼费用补助，最高不超过</w:t>
      </w:r>
      <w:r>
        <w:rPr>
          <w:rFonts w:hint="eastAsia"/>
          <w:kern w:val="0"/>
          <w:szCs w:val="32"/>
        </w:rPr>
        <w:t>20</w:t>
      </w:r>
      <w:r>
        <w:rPr>
          <w:rFonts w:hint="eastAsia"/>
          <w:kern w:val="0"/>
          <w:szCs w:val="32"/>
        </w:rPr>
        <w:t>万元。鼓励本市权利人和社会各界对假冒专利行为进行举报投诉，举报投诉被立案查处并做出处理处罚或判决的，分等级给予举报投诉人员奖励。</w:t>
      </w:r>
    </w:p>
    <w:p w:rsidR="000F7E59" w:rsidRDefault="000F7E59" w:rsidP="00AA4E0C">
      <w:pPr>
        <w:spacing w:line="560" w:lineRule="exact"/>
        <w:ind w:firstLineChars="200" w:firstLine="640"/>
        <w:rPr>
          <w:kern w:val="0"/>
          <w:szCs w:val="32"/>
        </w:rPr>
      </w:pPr>
      <w:r>
        <w:rPr>
          <w:rFonts w:hint="eastAsia"/>
          <w:kern w:val="0"/>
          <w:szCs w:val="32"/>
        </w:rPr>
        <w:t>本意见适用于市本级的各类创新主体和科技服务机构，自发布之日起实施，有效期至</w:t>
      </w:r>
      <w:r>
        <w:rPr>
          <w:rFonts w:hint="eastAsia"/>
          <w:kern w:val="0"/>
          <w:szCs w:val="32"/>
        </w:rPr>
        <w:t>2021</w:t>
      </w:r>
      <w:r>
        <w:rPr>
          <w:rFonts w:hint="eastAsia"/>
          <w:kern w:val="0"/>
          <w:szCs w:val="32"/>
        </w:rPr>
        <w:t>年</w:t>
      </w:r>
      <w:r>
        <w:rPr>
          <w:rFonts w:hint="eastAsia"/>
          <w:kern w:val="0"/>
          <w:szCs w:val="32"/>
        </w:rPr>
        <w:t>12</w:t>
      </w:r>
      <w:r>
        <w:rPr>
          <w:rFonts w:hint="eastAsia"/>
          <w:kern w:val="0"/>
          <w:szCs w:val="32"/>
        </w:rPr>
        <w:t>月</w:t>
      </w:r>
      <w:r>
        <w:rPr>
          <w:rFonts w:hint="eastAsia"/>
          <w:kern w:val="0"/>
          <w:szCs w:val="32"/>
        </w:rPr>
        <w:t>31</w:t>
      </w:r>
      <w:r>
        <w:rPr>
          <w:rFonts w:hint="eastAsia"/>
          <w:kern w:val="0"/>
          <w:szCs w:val="32"/>
        </w:rPr>
        <w:t>日，相关实施细则另行制定。本政策涉及的扶持政策与原政策规定不一致的，按本政策执行。涉及丽水开发区企业的奖励和补助资金，按照现行财政体制分别承担。各县（市、区）参照执行。</w:t>
      </w:r>
    </w:p>
    <w:p w:rsidR="00AA4E0C" w:rsidRDefault="00AA4E0C" w:rsidP="00AA4E0C">
      <w:pPr>
        <w:pStyle w:val="a5"/>
        <w:widowControl w:val="0"/>
        <w:spacing w:before="0" w:beforeAutospacing="0" w:after="0" w:afterAutospacing="0" w:line="600" w:lineRule="exact"/>
        <w:ind w:right="45"/>
        <w:rPr>
          <w:rFonts w:ascii="仿宋_GB2312" w:eastAsia="仿宋_GB2312" w:hAnsi="仿宋"/>
          <w:color w:val="000000"/>
          <w:kern w:val="2"/>
          <w:sz w:val="32"/>
          <w:szCs w:val="32"/>
        </w:rPr>
      </w:pPr>
    </w:p>
    <w:p w:rsidR="00AA4E0C" w:rsidRDefault="00AA4E0C" w:rsidP="00AA4E0C">
      <w:pPr>
        <w:pStyle w:val="a5"/>
        <w:widowControl w:val="0"/>
        <w:spacing w:before="0" w:beforeAutospacing="0" w:after="0" w:afterAutospacing="0" w:line="600" w:lineRule="exact"/>
        <w:ind w:right="45"/>
        <w:rPr>
          <w:rFonts w:ascii="仿宋_GB2312" w:eastAsia="仿宋_GB2312" w:hAnsi="仿宋" w:hint="eastAsia"/>
          <w:color w:val="000000"/>
          <w:kern w:val="2"/>
          <w:sz w:val="32"/>
          <w:szCs w:val="32"/>
        </w:rPr>
      </w:pPr>
    </w:p>
    <w:p w:rsidR="00700CCC" w:rsidRPr="00422FE3" w:rsidRDefault="00700CCC" w:rsidP="00AA4E0C">
      <w:pPr>
        <w:pStyle w:val="a5"/>
        <w:widowControl w:val="0"/>
        <w:spacing w:before="0" w:beforeAutospacing="0" w:after="0" w:afterAutospacing="0" w:line="600" w:lineRule="exact"/>
        <w:ind w:right="45"/>
        <w:rPr>
          <w:rFonts w:ascii="仿宋_GB2312" w:eastAsia="仿宋_GB2312" w:hAnsi="仿宋"/>
          <w:color w:val="000000"/>
          <w:kern w:val="2"/>
          <w:sz w:val="32"/>
          <w:szCs w:val="32"/>
        </w:rPr>
      </w:pPr>
    </w:p>
    <w:p w:rsidR="00AA4E0C" w:rsidRPr="00422FE3" w:rsidRDefault="00112188" w:rsidP="00AA4E0C">
      <w:pPr>
        <w:spacing w:line="240" w:lineRule="exact"/>
        <w:ind w:rightChars="310" w:right="992"/>
        <w:rPr>
          <w:szCs w:val="32"/>
        </w:rPr>
      </w:pPr>
      <w:r w:rsidRPr="00112188">
        <w:rPr>
          <w:rFonts w:ascii="仿宋_GB2312"/>
          <w:noProof/>
          <w:sz w:val="28"/>
          <w:szCs w:val="28"/>
        </w:rPr>
        <w:pict>
          <v:line id="_x0000_s1031" style="position:absolute;left:0;text-align:left;z-index:251664384" from="0,6pt" to="446.25pt,6pt" strokeweight="1.25pt"/>
        </w:pict>
      </w:r>
    </w:p>
    <w:p w:rsidR="00AA4E0C" w:rsidRPr="00422FE3" w:rsidRDefault="00AA4E0C" w:rsidP="00AA4E0C">
      <w:pPr>
        <w:spacing w:line="380" w:lineRule="exact"/>
        <w:ind w:rightChars="310" w:right="992" w:firstLineChars="100" w:firstLine="280"/>
        <w:rPr>
          <w:rFonts w:ascii="仿宋_GB2312"/>
          <w:sz w:val="28"/>
          <w:szCs w:val="28"/>
        </w:rPr>
      </w:pPr>
      <w:r w:rsidRPr="00422FE3">
        <w:rPr>
          <w:rFonts w:ascii="仿宋_GB2312" w:hint="eastAsia"/>
          <w:sz w:val="28"/>
          <w:szCs w:val="28"/>
        </w:rPr>
        <w:t>主送：各县（市、区）党委</w:t>
      </w:r>
      <w:r>
        <w:rPr>
          <w:rFonts w:ascii="仿宋_GB2312" w:hint="eastAsia"/>
          <w:sz w:val="28"/>
          <w:szCs w:val="28"/>
        </w:rPr>
        <w:t>和人民政府</w:t>
      </w:r>
      <w:r w:rsidRPr="00422FE3">
        <w:rPr>
          <w:rFonts w:ascii="仿宋_GB2312" w:hint="eastAsia"/>
          <w:sz w:val="28"/>
          <w:szCs w:val="28"/>
        </w:rPr>
        <w:t>，市直属各单位。</w:t>
      </w:r>
    </w:p>
    <w:p w:rsidR="00AA4E0C" w:rsidRPr="005F5CFB" w:rsidRDefault="00112188" w:rsidP="00AA4E0C">
      <w:pPr>
        <w:spacing w:line="600" w:lineRule="exact"/>
        <w:ind w:firstLineChars="100" w:firstLine="280"/>
        <w:rPr>
          <w:rFonts w:ascii="仿宋_GB2312"/>
          <w:color w:val="000000"/>
          <w:sz w:val="28"/>
          <w:szCs w:val="28"/>
        </w:rPr>
      </w:pPr>
      <w:r w:rsidRPr="00112188">
        <w:rPr>
          <w:noProof/>
          <w:sz w:val="28"/>
          <w:szCs w:val="28"/>
        </w:rPr>
        <w:pict>
          <v:line id="_x0000_s1032" style="position:absolute;left:0;text-align:left;z-index:251665408" from="0,4.25pt" to="448pt,4.25pt"/>
        </w:pict>
      </w:r>
      <w:r w:rsidRPr="00112188">
        <w:rPr>
          <w:noProof/>
          <w:sz w:val="28"/>
          <w:szCs w:val="28"/>
        </w:rPr>
        <w:pict>
          <v:line id="_x0000_s1030" style="position:absolute;left:0;text-align:left;z-index:251663360" from="-.75pt,36.9pt" to="445.5pt,36.9pt" strokeweight="1.25pt"/>
        </w:pict>
      </w:r>
      <w:r w:rsidR="00AA4E0C" w:rsidRPr="00AA4E0C">
        <w:rPr>
          <w:rFonts w:hint="eastAsia"/>
          <w:spacing w:val="22"/>
          <w:w w:val="97"/>
          <w:kern w:val="0"/>
          <w:sz w:val="28"/>
          <w:szCs w:val="28"/>
          <w:fitText w:val="2800" w:id="2039205376"/>
        </w:rPr>
        <w:t>中共丽水市委办公</w:t>
      </w:r>
      <w:r w:rsidR="00AA4E0C" w:rsidRPr="00AA4E0C">
        <w:rPr>
          <w:rFonts w:hint="eastAsia"/>
          <w:spacing w:val="3"/>
          <w:w w:val="97"/>
          <w:kern w:val="0"/>
          <w:sz w:val="28"/>
          <w:szCs w:val="28"/>
          <w:fitText w:val="2800" w:id="2039205376"/>
        </w:rPr>
        <w:t>室</w:t>
      </w:r>
      <w:r w:rsidR="00AA4E0C" w:rsidRPr="005F5CFB">
        <w:rPr>
          <w:rFonts w:hint="eastAsia"/>
          <w:kern w:val="0"/>
          <w:sz w:val="28"/>
          <w:szCs w:val="28"/>
        </w:rPr>
        <w:t xml:space="preserve"> </w:t>
      </w:r>
      <w:r w:rsidR="00AA4E0C" w:rsidRPr="005F5CFB">
        <w:rPr>
          <w:rFonts w:hint="eastAsia"/>
          <w:sz w:val="28"/>
          <w:szCs w:val="28"/>
        </w:rPr>
        <w:t xml:space="preserve">         </w:t>
      </w:r>
      <w:r w:rsidR="00AA4E0C">
        <w:rPr>
          <w:rFonts w:hint="eastAsia"/>
          <w:sz w:val="28"/>
          <w:szCs w:val="28"/>
        </w:rPr>
        <w:t xml:space="preserve">  </w:t>
      </w:r>
      <w:r w:rsidR="00AA4E0C" w:rsidRPr="005F5CFB">
        <w:rPr>
          <w:rFonts w:hint="eastAsia"/>
          <w:sz w:val="28"/>
          <w:szCs w:val="28"/>
        </w:rPr>
        <w:t xml:space="preserve">        201</w:t>
      </w:r>
      <w:r w:rsidR="00AA4E0C">
        <w:rPr>
          <w:rFonts w:hint="eastAsia"/>
          <w:sz w:val="28"/>
          <w:szCs w:val="28"/>
        </w:rPr>
        <w:t>9</w:t>
      </w:r>
      <w:r w:rsidR="00AA4E0C" w:rsidRPr="005F5CFB">
        <w:rPr>
          <w:rFonts w:hint="eastAsia"/>
          <w:sz w:val="28"/>
          <w:szCs w:val="28"/>
        </w:rPr>
        <w:t>年</w:t>
      </w:r>
      <w:r w:rsidR="00AA4E0C">
        <w:rPr>
          <w:rFonts w:hint="eastAsia"/>
          <w:sz w:val="28"/>
          <w:szCs w:val="28"/>
        </w:rPr>
        <w:t>9</w:t>
      </w:r>
      <w:r w:rsidR="00AA4E0C" w:rsidRPr="005F5CFB">
        <w:rPr>
          <w:rFonts w:hint="eastAsia"/>
          <w:sz w:val="28"/>
          <w:szCs w:val="28"/>
        </w:rPr>
        <w:t>月</w:t>
      </w:r>
      <w:r w:rsidR="00AA4E0C">
        <w:rPr>
          <w:rFonts w:hint="eastAsia"/>
          <w:sz w:val="28"/>
          <w:szCs w:val="28"/>
        </w:rPr>
        <w:t>17</w:t>
      </w:r>
      <w:r w:rsidR="00AA4E0C" w:rsidRPr="005F5CFB">
        <w:rPr>
          <w:rFonts w:hint="eastAsia"/>
          <w:sz w:val="28"/>
          <w:szCs w:val="28"/>
        </w:rPr>
        <w:t>日印发</w:t>
      </w:r>
    </w:p>
    <w:sectPr w:rsidR="00AA4E0C" w:rsidRPr="005F5CFB" w:rsidSect="004733E3">
      <w:footerReference w:type="even" r:id="rId8"/>
      <w:footerReference w:type="default" r:id="rId9"/>
      <w:pgSz w:w="11906" w:h="16838" w:code="9"/>
      <w:pgMar w:top="1871" w:right="1531" w:bottom="1701" w:left="1531" w:header="851" w:footer="1418" w:gutter="0"/>
      <w:cols w:space="425"/>
      <w:docGrid w:type="linesAndChar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3D96" w:rsidRDefault="00383D96" w:rsidP="00B66065">
      <w:r>
        <w:separator/>
      </w:r>
    </w:p>
  </w:endnote>
  <w:endnote w:type="continuationSeparator" w:id="1">
    <w:p w:rsidR="00383D96" w:rsidRDefault="00383D96" w:rsidP="00B6606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等线">
    <w:altName w:val="宋体"/>
    <w:panose1 w:val="00000000000000000000"/>
    <w:charset w:val="86"/>
    <w:family w:val="auto"/>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EEC" w:rsidRDefault="00112188" w:rsidP="007014FA">
    <w:pPr>
      <w:pStyle w:val="a4"/>
      <w:framePr w:wrap="around" w:vAnchor="text" w:hAnchor="margin" w:xAlign="outside" w:y="1"/>
      <w:rPr>
        <w:rStyle w:val="a6"/>
      </w:rPr>
    </w:pPr>
    <w:r>
      <w:rPr>
        <w:rStyle w:val="a6"/>
      </w:rPr>
      <w:fldChar w:fldCharType="begin"/>
    </w:r>
    <w:r w:rsidR="00A27EEC">
      <w:rPr>
        <w:rStyle w:val="a6"/>
      </w:rPr>
      <w:instrText xml:space="preserve">PAGE  </w:instrText>
    </w:r>
    <w:r>
      <w:rPr>
        <w:rStyle w:val="a6"/>
      </w:rPr>
      <w:fldChar w:fldCharType="end"/>
    </w:r>
  </w:p>
  <w:p w:rsidR="00A27EEC" w:rsidRDefault="00A27EEC" w:rsidP="007014FA">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EEC" w:rsidRPr="007014FA" w:rsidRDefault="00A27EEC" w:rsidP="007014FA">
    <w:pPr>
      <w:pStyle w:val="a4"/>
      <w:framePr w:wrap="around" w:vAnchor="text" w:hAnchor="margin" w:xAlign="outside" w:y="1"/>
      <w:rPr>
        <w:rStyle w:val="a6"/>
        <w:sz w:val="28"/>
        <w:szCs w:val="28"/>
      </w:rPr>
    </w:pPr>
    <w:r w:rsidRPr="00E47818">
      <w:rPr>
        <w:rStyle w:val="a6"/>
        <w:rFonts w:ascii="仿宋_GB2312" w:eastAsia="仿宋_GB2312" w:hint="eastAsia"/>
        <w:sz w:val="28"/>
        <w:szCs w:val="28"/>
      </w:rPr>
      <w:t>—</w:t>
    </w:r>
    <w:r>
      <w:rPr>
        <w:rStyle w:val="a6"/>
        <w:sz w:val="28"/>
        <w:szCs w:val="28"/>
      </w:rPr>
      <w:t xml:space="preserve"> </w:t>
    </w:r>
    <w:r w:rsidR="00112188" w:rsidRPr="004733E3">
      <w:rPr>
        <w:rStyle w:val="a6"/>
        <w:rFonts w:ascii="Times New Roman" w:hAnsi="Times New Roman"/>
        <w:sz w:val="28"/>
        <w:szCs w:val="28"/>
      </w:rPr>
      <w:fldChar w:fldCharType="begin"/>
    </w:r>
    <w:r w:rsidRPr="004733E3">
      <w:rPr>
        <w:rStyle w:val="a6"/>
        <w:rFonts w:ascii="Times New Roman" w:hAnsi="Times New Roman"/>
        <w:sz w:val="28"/>
        <w:szCs w:val="28"/>
      </w:rPr>
      <w:instrText xml:space="preserve">PAGE  </w:instrText>
    </w:r>
    <w:r w:rsidR="00112188" w:rsidRPr="004733E3">
      <w:rPr>
        <w:rStyle w:val="a6"/>
        <w:rFonts w:ascii="Times New Roman" w:hAnsi="Times New Roman"/>
        <w:sz w:val="28"/>
        <w:szCs w:val="28"/>
      </w:rPr>
      <w:fldChar w:fldCharType="separate"/>
    </w:r>
    <w:r w:rsidR="00700CCC">
      <w:rPr>
        <w:rStyle w:val="a6"/>
        <w:rFonts w:ascii="Times New Roman" w:hAnsi="Times New Roman"/>
        <w:noProof/>
        <w:sz w:val="28"/>
        <w:szCs w:val="28"/>
      </w:rPr>
      <w:t>8</w:t>
    </w:r>
    <w:r w:rsidR="00112188" w:rsidRPr="004733E3">
      <w:rPr>
        <w:rStyle w:val="a6"/>
        <w:rFonts w:ascii="Times New Roman" w:hAnsi="Times New Roman"/>
        <w:sz w:val="28"/>
        <w:szCs w:val="28"/>
      </w:rPr>
      <w:fldChar w:fldCharType="end"/>
    </w:r>
    <w:r w:rsidRPr="00E47818">
      <w:rPr>
        <w:rStyle w:val="a6"/>
        <w:rFonts w:ascii="仿宋_GB2312" w:eastAsia="仿宋_GB2312" w:hAnsi="Times New Roman" w:hint="eastAsia"/>
        <w:sz w:val="28"/>
        <w:szCs w:val="28"/>
      </w:rPr>
      <w:t xml:space="preserve"> —</w:t>
    </w:r>
  </w:p>
  <w:p w:rsidR="00A27EEC" w:rsidRDefault="00A27EEC" w:rsidP="007014FA">
    <w:pPr>
      <w:pStyle w:val="a4"/>
      <w:ind w:right="360" w:firstLine="360"/>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3D96" w:rsidRDefault="00383D96" w:rsidP="00B66065">
      <w:r>
        <w:separator/>
      </w:r>
    </w:p>
  </w:footnote>
  <w:footnote w:type="continuationSeparator" w:id="1">
    <w:p w:rsidR="00383D96" w:rsidRDefault="00383D96" w:rsidP="00B6606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E908FA"/>
    <w:multiLevelType w:val="multilevel"/>
    <w:tmpl w:val="52E908FA"/>
    <w:lvl w:ilvl="0">
      <w:start w:val="1"/>
      <w:numFmt w:val="japaneseCounting"/>
      <w:lvlText w:val="（%1）"/>
      <w:lvlJc w:val="left"/>
      <w:pPr>
        <w:ind w:left="1364" w:hanging="1080"/>
      </w:pPr>
      <w:rPr>
        <w:rFonts w:cs="Times New Roman" w:hint="default"/>
      </w:rPr>
    </w:lvl>
    <w:lvl w:ilvl="1">
      <w:start w:val="1"/>
      <w:numFmt w:val="lowerLetter"/>
      <w:lvlText w:val="%2)"/>
      <w:lvlJc w:val="left"/>
      <w:pPr>
        <w:ind w:left="1124" w:hanging="420"/>
      </w:pPr>
      <w:rPr>
        <w:rFonts w:cs="Times New Roman"/>
      </w:rPr>
    </w:lvl>
    <w:lvl w:ilvl="2">
      <w:start w:val="1"/>
      <w:numFmt w:val="lowerRoman"/>
      <w:lvlText w:val="%3."/>
      <w:lvlJc w:val="right"/>
      <w:pPr>
        <w:ind w:left="1544" w:hanging="420"/>
      </w:pPr>
      <w:rPr>
        <w:rFonts w:cs="Times New Roman"/>
      </w:rPr>
    </w:lvl>
    <w:lvl w:ilvl="3">
      <w:start w:val="1"/>
      <w:numFmt w:val="decimal"/>
      <w:lvlText w:val="%4."/>
      <w:lvlJc w:val="left"/>
      <w:pPr>
        <w:ind w:left="1964" w:hanging="420"/>
      </w:pPr>
      <w:rPr>
        <w:rFonts w:cs="Times New Roman"/>
      </w:rPr>
    </w:lvl>
    <w:lvl w:ilvl="4">
      <w:start w:val="1"/>
      <w:numFmt w:val="lowerLetter"/>
      <w:lvlText w:val="%5)"/>
      <w:lvlJc w:val="left"/>
      <w:pPr>
        <w:ind w:left="2384" w:hanging="420"/>
      </w:pPr>
      <w:rPr>
        <w:rFonts w:cs="Times New Roman"/>
      </w:rPr>
    </w:lvl>
    <w:lvl w:ilvl="5">
      <w:start w:val="1"/>
      <w:numFmt w:val="lowerRoman"/>
      <w:lvlText w:val="%6."/>
      <w:lvlJc w:val="right"/>
      <w:pPr>
        <w:ind w:left="2804" w:hanging="420"/>
      </w:pPr>
      <w:rPr>
        <w:rFonts w:cs="Times New Roman"/>
      </w:rPr>
    </w:lvl>
    <w:lvl w:ilvl="6">
      <w:start w:val="1"/>
      <w:numFmt w:val="decimal"/>
      <w:lvlText w:val="%7."/>
      <w:lvlJc w:val="left"/>
      <w:pPr>
        <w:ind w:left="3224" w:hanging="420"/>
      </w:pPr>
      <w:rPr>
        <w:rFonts w:cs="Times New Roman"/>
      </w:rPr>
    </w:lvl>
    <w:lvl w:ilvl="7">
      <w:start w:val="1"/>
      <w:numFmt w:val="lowerLetter"/>
      <w:lvlText w:val="%8)"/>
      <w:lvlJc w:val="left"/>
      <w:pPr>
        <w:ind w:left="3644" w:hanging="420"/>
      </w:pPr>
      <w:rPr>
        <w:rFonts w:cs="Times New Roman"/>
      </w:rPr>
    </w:lvl>
    <w:lvl w:ilvl="8">
      <w:start w:val="1"/>
      <w:numFmt w:val="lowerRoman"/>
      <w:lvlText w:val="%9."/>
      <w:lvlJc w:val="right"/>
      <w:pPr>
        <w:ind w:left="4064"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noLineBreaksAfter w:lang="zh-CN" w:val="$([{£¥·‘“〈《「『【〔〖〝﹙﹛﹝＄（．［｛￡￥"/>
  <w:noLineBreaksBefore w:lang="zh-CN" w:val="!%),.:;&gt;?]}¢¨°·ˇˉ―‖’”…‰′″›℃∶、。〃〉》」』】〕〗〞︶︺︾﹀﹄﹚﹜﹞！＂％＇），．：；？］｀｜｝～￠"/>
  <w:hdrShapeDefaults>
    <o:shapedefaults v:ext="edit" spidmax="337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E135B"/>
    <w:rsid w:val="00012EA1"/>
    <w:rsid w:val="0003094F"/>
    <w:rsid w:val="000671AA"/>
    <w:rsid w:val="000C5D2E"/>
    <w:rsid w:val="000F7E59"/>
    <w:rsid w:val="00112188"/>
    <w:rsid w:val="00140880"/>
    <w:rsid w:val="001425C0"/>
    <w:rsid w:val="00156D02"/>
    <w:rsid w:val="00191D3E"/>
    <w:rsid w:val="001A236E"/>
    <w:rsid w:val="001F28A9"/>
    <w:rsid w:val="002248B1"/>
    <w:rsid w:val="00237795"/>
    <w:rsid w:val="00273E48"/>
    <w:rsid w:val="002C580E"/>
    <w:rsid w:val="002D06AD"/>
    <w:rsid w:val="002F15E3"/>
    <w:rsid w:val="002F73F4"/>
    <w:rsid w:val="00361923"/>
    <w:rsid w:val="003737DC"/>
    <w:rsid w:val="00383D96"/>
    <w:rsid w:val="003B4CB2"/>
    <w:rsid w:val="003C22A6"/>
    <w:rsid w:val="003E5A90"/>
    <w:rsid w:val="00430AD4"/>
    <w:rsid w:val="004356DD"/>
    <w:rsid w:val="00437EA5"/>
    <w:rsid w:val="00462675"/>
    <w:rsid w:val="0047071A"/>
    <w:rsid w:val="004733E3"/>
    <w:rsid w:val="004F241C"/>
    <w:rsid w:val="00510529"/>
    <w:rsid w:val="00511C19"/>
    <w:rsid w:val="00526BCD"/>
    <w:rsid w:val="00551444"/>
    <w:rsid w:val="00574FF2"/>
    <w:rsid w:val="005E6D1D"/>
    <w:rsid w:val="00610004"/>
    <w:rsid w:val="0064512B"/>
    <w:rsid w:val="006B5FB2"/>
    <w:rsid w:val="006C224F"/>
    <w:rsid w:val="006E2342"/>
    <w:rsid w:val="00700CCC"/>
    <w:rsid w:val="007014FA"/>
    <w:rsid w:val="00705002"/>
    <w:rsid w:val="007A163D"/>
    <w:rsid w:val="007C6EE0"/>
    <w:rsid w:val="00807BDC"/>
    <w:rsid w:val="0081690F"/>
    <w:rsid w:val="00830E30"/>
    <w:rsid w:val="00861189"/>
    <w:rsid w:val="008E39D5"/>
    <w:rsid w:val="00911F19"/>
    <w:rsid w:val="00963599"/>
    <w:rsid w:val="00963A12"/>
    <w:rsid w:val="00977C64"/>
    <w:rsid w:val="00986B87"/>
    <w:rsid w:val="00990DCB"/>
    <w:rsid w:val="009926CD"/>
    <w:rsid w:val="009D3333"/>
    <w:rsid w:val="00A27EEC"/>
    <w:rsid w:val="00A70A87"/>
    <w:rsid w:val="00A968F0"/>
    <w:rsid w:val="00AA4E0C"/>
    <w:rsid w:val="00AC4E02"/>
    <w:rsid w:val="00AD1021"/>
    <w:rsid w:val="00AD77A3"/>
    <w:rsid w:val="00AE71EA"/>
    <w:rsid w:val="00B134AB"/>
    <w:rsid w:val="00B65B45"/>
    <w:rsid w:val="00B66065"/>
    <w:rsid w:val="00BB76EC"/>
    <w:rsid w:val="00BD1B2D"/>
    <w:rsid w:val="00BD218F"/>
    <w:rsid w:val="00C06C9E"/>
    <w:rsid w:val="00C32BBB"/>
    <w:rsid w:val="00C65E9D"/>
    <w:rsid w:val="00C711D3"/>
    <w:rsid w:val="00C7372E"/>
    <w:rsid w:val="00C74994"/>
    <w:rsid w:val="00CA1315"/>
    <w:rsid w:val="00CB7E4A"/>
    <w:rsid w:val="00CE135B"/>
    <w:rsid w:val="00CE42F6"/>
    <w:rsid w:val="00D0431E"/>
    <w:rsid w:val="00D35E87"/>
    <w:rsid w:val="00D631B9"/>
    <w:rsid w:val="00DA23AB"/>
    <w:rsid w:val="00DD2AEA"/>
    <w:rsid w:val="00DE298B"/>
    <w:rsid w:val="00DF1C30"/>
    <w:rsid w:val="00E125C3"/>
    <w:rsid w:val="00E47818"/>
    <w:rsid w:val="00E9159C"/>
    <w:rsid w:val="00F04596"/>
    <w:rsid w:val="00FB1944"/>
    <w:rsid w:val="00FB2E1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1D3E"/>
    <w:pPr>
      <w:widowControl w:val="0"/>
      <w:jc w:val="both"/>
    </w:pPr>
    <w:rPr>
      <w:rFonts w:ascii="Times New Roman" w:eastAsia="仿宋_GB2312" w:hAnsi="Times New Roman"/>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B66065"/>
    <w:pPr>
      <w:pBdr>
        <w:bottom w:val="single" w:sz="6" w:space="1" w:color="auto"/>
      </w:pBdr>
      <w:tabs>
        <w:tab w:val="center" w:pos="4153"/>
        <w:tab w:val="right" w:pos="8306"/>
      </w:tabs>
      <w:snapToGrid w:val="0"/>
      <w:jc w:val="center"/>
    </w:pPr>
    <w:rPr>
      <w:rFonts w:ascii="Calibri" w:eastAsia="宋体" w:hAnsi="Calibri"/>
      <w:sz w:val="18"/>
      <w:szCs w:val="18"/>
    </w:rPr>
  </w:style>
  <w:style w:type="character" w:customStyle="1" w:styleId="Char">
    <w:name w:val="页眉 Char"/>
    <w:basedOn w:val="a0"/>
    <w:link w:val="a3"/>
    <w:uiPriority w:val="99"/>
    <w:locked/>
    <w:rsid w:val="00B66065"/>
    <w:rPr>
      <w:rFonts w:cs="Times New Roman"/>
      <w:sz w:val="18"/>
      <w:szCs w:val="18"/>
    </w:rPr>
  </w:style>
  <w:style w:type="paragraph" w:styleId="a4">
    <w:name w:val="footer"/>
    <w:basedOn w:val="a"/>
    <w:link w:val="Char0"/>
    <w:uiPriority w:val="99"/>
    <w:rsid w:val="00B66065"/>
    <w:pPr>
      <w:tabs>
        <w:tab w:val="center" w:pos="4153"/>
        <w:tab w:val="right" w:pos="8306"/>
      </w:tabs>
      <w:snapToGrid w:val="0"/>
      <w:jc w:val="left"/>
    </w:pPr>
    <w:rPr>
      <w:rFonts w:ascii="Calibri" w:eastAsia="宋体" w:hAnsi="Calibri"/>
      <w:sz w:val="18"/>
      <w:szCs w:val="18"/>
    </w:rPr>
  </w:style>
  <w:style w:type="character" w:customStyle="1" w:styleId="Char0">
    <w:name w:val="页脚 Char"/>
    <w:basedOn w:val="a0"/>
    <w:link w:val="a4"/>
    <w:uiPriority w:val="99"/>
    <w:locked/>
    <w:rsid w:val="00B66065"/>
    <w:rPr>
      <w:rFonts w:cs="Times New Roman"/>
      <w:sz w:val="18"/>
      <w:szCs w:val="18"/>
    </w:rPr>
  </w:style>
  <w:style w:type="paragraph" w:styleId="a5">
    <w:name w:val="Normal (Web)"/>
    <w:basedOn w:val="a"/>
    <w:rsid w:val="00B66065"/>
    <w:pPr>
      <w:widowControl/>
      <w:spacing w:before="100" w:beforeAutospacing="1" w:after="100" w:afterAutospacing="1"/>
      <w:jc w:val="left"/>
    </w:pPr>
    <w:rPr>
      <w:rFonts w:ascii="宋体" w:eastAsia="宋体" w:hAnsi="宋体" w:cs="宋体"/>
      <w:kern w:val="0"/>
      <w:sz w:val="24"/>
    </w:rPr>
  </w:style>
  <w:style w:type="character" w:styleId="a6">
    <w:name w:val="page number"/>
    <w:basedOn w:val="a0"/>
    <w:rsid w:val="00191D3E"/>
    <w:rPr>
      <w:rFonts w:cs="Times New Roman"/>
    </w:rPr>
  </w:style>
  <w:style w:type="paragraph" w:customStyle="1" w:styleId="1">
    <w:name w:val="普通(网站)1"/>
    <w:basedOn w:val="a"/>
    <w:uiPriority w:val="99"/>
    <w:rsid w:val="00191D3E"/>
    <w:pPr>
      <w:spacing w:before="100" w:beforeAutospacing="1" w:after="100" w:afterAutospacing="1"/>
      <w:jc w:val="left"/>
    </w:pPr>
    <w:rPr>
      <w:rFonts w:ascii="Calibri" w:eastAsia="宋体" w:hAnsi="Calibri"/>
      <w:kern w:val="0"/>
      <w:sz w:val="24"/>
    </w:rPr>
  </w:style>
  <w:style w:type="paragraph" w:styleId="a7">
    <w:name w:val="List Paragraph"/>
    <w:basedOn w:val="a"/>
    <w:uiPriority w:val="99"/>
    <w:qFormat/>
    <w:rsid w:val="00AD77A3"/>
    <w:pPr>
      <w:ind w:firstLineChars="200" w:firstLine="420"/>
    </w:pPr>
  </w:style>
  <w:style w:type="paragraph" w:styleId="a8">
    <w:name w:val="Balloon Text"/>
    <w:basedOn w:val="a"/>
    <w:link w:val="Char1"/>
    <w:uiPriority w:val="99"/>
    <w:semiHidden/>
    <w:rsid w:val="004733E3"/>
    <w:rPr>
      <w:sz w:val="18"/>
      <w:szCs w:val="18"/>
    </w:rPr>
  </w:style>
  <w:style w:type="character" w:customStyle="1" w:styleId="Char1">
    <w:name w:val="批注框文本 Char"/>
    <w:basedOn w:val="a0"/>
    <w:link w:val="a8"/>
    <w:uiPriority w:val="99"/>
    <w:semiHidden/>
    <w:rsid w:val="003647EC"/>
    <w:rPr>
      <w:rFonts w:ascii="Times New Roman" w:eastAsia="仿宋_GB2312" w:hAnsi="Times New Roman"/>
      <w:sz w:val="0"/>
      <w:szCs w:val="0"/>
    </w:rPr>
  </w:style>
  <w:style w:type="paragraph" w:customStyle="1" w:styleId="Default">
    <w:name w:val="Default"/>
    <w:uiPriority w:val="99"/>
    <w:rsid w:val="00462675"/>
    <w:pPr>
      <w:widowControl w:val="0"/>
      <w:autoSpaceDE w:val="0"/>
      <w:autoSpaceDN w:val="0"/>
      <w:adjustRightInd w:val="0"/>
    </w:pPr>
    <w:rPr>
      <w:rFonts w:ascii="楷体_GB2312" w:eastAsia="楷体_GB2312" w:hAnsi="等线" w:cs="楷体_GB2312"/>
      <w:color w:val="000000"/>
      <w:sz w:val="24"/>
      <w:szCs w:val="24"/>
    </w:rPr>
  </w:style>
  <w:style w:type="paragraph" w:customStyle="1" w:styleId="cjk">
    <w:name w:val="cjk"/>
    <w:basedOn w:val="a"/>
    <w:rsid w:val="00963599"/>
    <w:pPr>
      <w:widowControl/>
      <w:spacing w:before="100" w:beforeAutospacing="1" w:after="142" w:line="276" w:lineRule="auto"/>
    </w:pPr>
    <w:rPr>
      <w:rFonts w:ascii="仿宋_GB2312" w:hAnsi="宋体" w:hint="eastAsia"/>
      <w:color w:val="000000"/>
      <w:spacing w:val="-6"/>
      <w:szCs w:val="20"/>
    </w:rPr>
  </w:style>
</w:styles>
</file>

<file path=word/webSettings.xml><?xml version="1.0" encoding="utf-8"?>
<w:webSettings xmlns:r="http://schemas.openxmlformats.org/officeDocument/2006/relationships" xmlns:w="http://schemas.openxmlformats.org/wordprocessingml/2006/main">
  <w:divs>
    <w:div w:id="1681664637">
      <w:marLeft w:val="0"/>
      <w:marRight w:val="0"/>
      <w:marTop w:val="0"/>
      <w:marBottom w:val="0"/>
      <w:divBdr>
        <w:top w:val="none" w:sz="0" w:space="0" w:color="auto"/>
        <w:left w:val="none" w:sz="0" w:space="0" w:color="auto"/>
        <w:bottom w:val="none" w:sz="0" w:space="0" w:color="auto"/>
        <w:right w:val="none" w:sz="0" w:space="0" w:color="auto"/>
      </w:divBdr>
      <w:divsChild>
        <w:div w:id="1681664628">
          <w:marLeft w:val="0"/>
          <w:marRight w:val="0"/>
          <w:marTop w:val="0"/>
          <w:marBottom w:val="0"/>
          <w:divBdr>
            <w:top w:val="none" w:sz="0" w:space="0" w:color="auto"/>
            <w:left w:val="none" w:sz="0" w:space="0" w:color="auto"/>
            <w:bottom w:val="none" w:sz="0" w:space="0" w:color="auto"/>
            <w:right w:val="none" w:sz="0" w:space="0" w:color="auto"/>
          </w:divBdr>
        </w:div>
        <w:div w:id="1681664633">
          <w:marLeft w:val="0"/>
          <w:marRight w:val="0"/>
          <w:marTop w:val="0"/>
          <w:marBottom w:val="0"/>
          <w:divBdr>
            <w:top w:val="none" w:sz="0" w:space="0" w:color="auto"/>
            <w:left w:val="none" w:sz="0" w:space="0" w:color="auto"/>
            <w:bottom w:val="none" w:sz="0" w:space="0" w:color="auto"/>
            <w:right w:val="none" w:sz="0" w:space="0" w:color="auto"/>
          </w:divBdr>
        </w:div>
        <w:div w:id="1681664634">
          <w:marLeft w:val="0"/>
          <w:marRight w:val="0"/>
          <w:marTop w:val="0"/>
          <w:marBottom w:val="0"/>
          <w:divBdr>
            <w:top w:val="none" w:sz="0" w:space="0" w:color="auto"/>
            <w:left w:val="none" w:sz="0" w:space="0" w:color="auto"/>
            <w:bottom w:val="none" w:sz="0" w:space="0" w:color="auto"/>
            <w:right w:val="none" w:sz="0" w:space="0" w:color="auto"/>
          </w:divBdr>
        </w:div>
        <w:div w:id="1681664645">
          <w:marLeft w:val="0"/>
          <w:marRight w:val="0"/>
          <w:marTop w:val="0"/>
          <w:marBottom w:val="0"/>
          <w:divBdr>
            <w:top w:val="none" w:sz="0" w:space="0" w:color="auto"/>
            <w:left w:val="none" w:sz="0" w:space="0" w:color="auto"/>
            <w:bottom w:val="none" w:sz="0" w:space="0" w:color="auto"/>
            <w:right w:val="none" w:sz="0" w:space="0" w:color="auto"/>
          </w:divBdr>
        </w:div>
        <w:div w:id="1681664665">
          <w:marLeft w:val="0"/>
          <w:marRight w:val="0"/>
          <w:marTop w:val="0"/>
          <w:marBottom w:val="0"/>
          <w:divBdr>
            <w:top w:val="none" w:sz="0" w:space="0" w:color="auto"/>
            <w:left w:val="none" w:sz="0" w:space="0" w:color="auto"/>
            <w:bottom w:val="none" w:sz="0" w:space="0" w:color="auto"/>
            <w:right w:val="none" w:sz="0" w:space="0" w:color="auto"/>
          </w:divBdr>
        </w:div>
      </w:divsChild>
    </w:div>
    <w:div w:id="1681664639">
      <w:marLeft w:val="0"/>
      <w:marRight w:val="0"/>
      <w:marTop w:val="0"/>
      <w:marBottom w:val="0"/>
      <w:divBdr>
        <w:top w:val="none" w:sz="0" w:space="0" w:color="auto"/>
        <w:left w:val="none" w:sz="0" w:space="0" w:color="auto"/>
        <w:bottom w:val="none" w:sz="0" w:space="0" w:color="auto"/>
        <w:right w:val="none" w:sz="0" w:space="0" w:color="auto"/>
      </w:divBdr>
    </w:div>
    <w:div w:id="1681664649">
      <w:marLeft w:val="0"/>
      <w:marRight w:val="0"/>
      <w:marTop w:val="0"/>
      <w:marBottom w:val="0"/>
      <w:divBdr>
        <w:top w:val="none" w:sz="0" w:space="0" w:color="auto"/>
        <w:left w:val="none" w:sz="0" w:space="0" w:color="auto"/>
        <w:bottom w:val="none" w:sz="0" w:space="0" w:color="auto"/>
        <w:right w:val="none" w:sz="0" w:space="0" w:color="auto"/>
      </w:divBdr>
      <w:divsChild>
        <w:div w:id="1681664631">
          <w:marLeft w:val="0"/>
          <w:marRight w:val="0"/>
          <w:marTop w:val="0"/>
          <w:marBottom w:val="0"/>
          <w:divBdr>
            <w:top w:val="none" w:sz="0" w:space="0" w:color="auto"/>
            <w:left w:val="none" w:sz="0" w:space="0" w:color="auto"/>
            <w:bottom w:val="none" w:sz="0" w:space="0" w:color="auto"/>
            <w:right w:val="none" w:sz="0" w:space="0" w:color="auto"/>
          </w:divBdr>
        </w:div>
        <w:div w:id="1681664655">
          <w:marLeft w:val="0"/>
          <w:marRight w:val="0"/>
          <w:marTop w:val="0"/>
          <w:marBottom w:val="0"/>
          <w:divBdr>
            <w:top w:val="none" w:sz="0" w:space="0" w:color="auto"/>
            <w:left w:val="none" w:sz="0" w:space="0" w:color="auto"/>
            <w:bottom w:val="none" w:sz="0" w:space="0" w:color="auto"/>
            <w:right w:val="none" w:sz="0" w:space="0" w:color="auto"/>
          </w:divBdr>
        </w:div>
        <w:div w:id="1681664664">
          <w:marLeft w:val="0"/>
          <w:marRight w:val="0"/>
          <w:marTop w:val="0"/>
          <w:marBottom w:val="0"/>
          <w:divBdr>
            <w:top w:val="none" w:sz="0" w:space="0" w:color="auto"/>
            <w:left w:val="none" w:sz="0" w:space="0" w:color="auto"/>
            <w:bottom w:val="none" w:sz="0" w:space="0" w:color="auto"/>
            <w:right w:val="none" w:sz="0" w:space="0" w:color="auto"/>
          </w:divBdr>
        </w:div>
      </w:divsChild>
    </w:div>
    <w:div w:id="1681664651">
      <w:marLeft w:val="0"/>
      <w:marRight w:val="0"/>
      <w:marTop w:val="0"/>
      <w:marBottom w:val="0"/>
      <w:divBdr>
        <w:top w:val="none" w:sz="0" w:space="0" w:color="auto"/>
        <w:left w:val="none" w:sz="0" w:space="0" w:color="auto"/>
        <w:bottom w:val="none" w:sz="0" w:space="0" w:color="auto"/>
        <w:right w:val="none" w:sz="0" w:space="0" w:color="auto"/>
      </w:divBdr>
      <w:divsChild>
        <w:div w:id="1681664629">
          <w:marLeft w:val="0"/>
          <w:marRight w:val="0"/>
          <w:marTop w:val="0"/>
          <w:marBottom w:val="0"/>
          <w:divBdr>
            <w:top w:val="none" w:sz="0" w:space="0" w:color="auto"/>
            <w:left w:val="none" w:sz="0" w:space="0" w:color="auto"/>
            <w:bottom w:val="none" w:sz="0" w:space="0" w:color="auto"/>
            <w:right w:val="none" w:sz="0" w:space="0" w:color="auto"/>
          </w:divBdr>
        </w:div>
        <w:div w:id="1681664635">
          <w:marLeft w:val="0"/>
          <w:marRight w:val="0"/>
          <w:marTop w:val="0"/>
          <w:marBottom w:val="0"/>
          <w:divBdr>
            <w:top w:val="none" w:sz="0" w:space="0" w:color="auto"/>
            <w:left w:val="none" w:sz="0" w:space="0" w:color="auto"/>
            <w:bottom w:val="none" w:sz="0" w:space="0" w:color="auto"/>
            <w:right w:val="none" w:sz="0" w:space="0" w:color="auto"/>
          </w:divBdr>
        </w:div>
        <w:div w:id="1681664643">
          <w:marLeft w:val="0"/>
          <w:marRight w:val="0"/>
          <w:marTop w:val="100"/>
          <w:marBottom w:val="230"/>
          <w:divBdr>
            <w:top w:val="none" w:sz="0" w:space="0" w:color="auto"/>
            <w:left w:val="none" w:sz="0" w:space="0" w:color="auto"/>
            <w:bottom w:val="none" w:sz="0" w:space="0" w:color="auto"/>
            <w:right w:val="none" w:sz="0" w:space="0" w:color="auto"/>
          </w:divBdr>
        </w:div>
        <w:div w:id="1681664661">
          <w:marLeft w:val="0"/>
          <w:marRight w:val="0"/>
          <w:marTop w:val="0"/>
          <w:marBottom w:val="0"/>
          <w:divBdr>
            <w:top w:val="none" w:sz="0" w:space="0" w:color="auto"/>
            <w:left w:val="none" w:sz="0" w:space="0" w:color="auto"/>
            <w:bottom w:val="none" w:sz="0" w:space="0" w:color="auto"/>
            <w:right w:val="none" w:sz="0" w:space="0" w:color="auto"/>
          </w:divBdr>
        </w:div>
        <w:div w:id="1681664663">
          <w:marLeft w:val="0"/>
          <w:marRight w:val="0"/>
          <w:marTop w:val="0"/>
          <w:marBottom w:val="0"/>
          <w:divBdr>
            <w:top w:val="none" w:sz="0" w:space="0" w:color="auto"/>
            <w:left w:val="none" w:sz="0" w:space="0" w:color="auto"/>
            <w:bottom w:val="none" w:sz="0" w:space="0" w:color="auto"/>
            <w:right w:val="none" w:sz="0" w:space="0" w:color="auto"/>
          </w:divBdr>
        </w:div>
      </w:divsChild>
    </w:div>
    <w:div w:id="1681664652">
      <w:marLeft w:val="0"/>
      <w:marRight w:val="0"/>
      <w:marTop w:val="0"/>
      <w:marBottom w:val="0"/>
      <w:divBdr>
        <w:top w:val="none" w:sz="0" w:space="0" w:color="auto"/>
        <w:left w:val="none" w:sz="0" w:space="0" w:color="auto"/>
        <w:bottom w:val="none" w:sz="0" w:space="0" w:color="auto"/>
        <w:right w:val="none" w:sz="0" w:space="0" w:color="auto"/>
      </w:divBdr>
      <w:divsChild>
        <w:div w:id="1681664626">
          <w:marLeft w:val="0"/>
          <w:marRight w:val="0"/>
          <w:marTop w:val="0"/>
          <w:marBottom w:val="0"/>
          <w:divBdr>
            <w:top w:val="none" w:sz="0" w:space="0" w:color="auto"/>
            <w:left w:val="none" w:sz="0" w:space="0" w:color="auto"/>
            <w:bottom w:val="none" w:sz="0" w:space="0" w:color="auto"/>
            <w:right w:val="none" w:sz="0" w:space="0" w:color="auto"/>
          </w:divBdr>
        </w:div>
        <w:div w:id="1681664641">
          <w:marLeft w:val="0"/>
          <w:marRight w:val="0"/>
          <w:marTop w:val="0"/>
          <w:marBottom w:val="0"/>
          <w:divBdr>
            <w:top w:val="none" w:sz="0" w:space="0" w:color="auto"/>
            <w:left w:val="none" w:sz="0" w:space="0" w:color="auto"/>
            <w:bottom w:val="none" w:sz="0" w:space="0" w:color="auto"/>
            <w:right w:val="none" w:sz="0" w:space="0" w:color="auto"/>
          </w:divBdr>
        </w:div>
        <w:div w:id="1681664647">
          <w:marLeft w:val="0"/>
          <w:marRight w:val="0"/>
          <w:marTop w:val="0"/>
          <w:marBottom w:val="0"/>
          <w:divBdr>
            <w:top w:val="none" w:sz="0" w:space="0" w:color="auto"/>
            <w:left w:val="none" w:sz="0" w:space="0" w:color="auto"/>
            <w:bottom w:val="none" w:sz="0" w:space="0" w:color="auto"/>
            <w:right w:val="none" w:sz="0" w:space="0" w:color="auto"/>
          </w:divBdr>
        </w:div>
        <w:div w:id="1681664662">
          <w:marLeft w:val="0"/>
          <w:marRight w:val="0"/>
          <w:marTop w:val="0"/>
          <w:marBottom w:val="0"/>
          <w:divBdr>
            <w:top w:val="none" w:sz="0" w:space="0" w:color="auto"/>
            <w:left w:val="none" w:sz="0" w:space="0" w:color="auto"/>
            <w:bottom w:val="none" w:sz="0" w:space="0" w:color="auto"/>
            <w:right w:val="none" w:sz="0" w:space="0" w:color="auto"/>
          </w:divBdr>
        </w:div>
      </w:divsChild>
    </w:div>
    <w:div w:id="1681664653">
      <w:marLeft w:val="0"/>
      <w:marRight w:val="0"/>
      <w:marTop w:val="0"/>
      <w:marBottom w:val="0"/>
      <w:divBdr>
        <w:top w:val="none" w:sz="0" w:space="0" w:color="auto"/>
        <w:left w:val="none" w:sz="0" w:space="0" w:color="auto"/>
        <w:bottom w:val="none" w:sz="0" w:space="0" w:color="auto"/>
        <w:right w:val="none" w:sz="0" w:space="0" w:color="auto"/>
      </w:divBdr>
      <w:divsChild>
        <w:div w:id="1681664630">
          <w:marLeft w:val="0"/>
          <w:marRight w:val="0"/>
          <w:marTop w:val="0"/>
          <w:marBottom w:val="0"/>
          <w:divBdr>
            <w:top w:val="none" w:sz="0" w:space="0" w:color="auto"/>
            <w:left w:val="none" w:sz="0" w:space="0" w:color="auto"/>
            <w:bottom w:val="none" w:sz="0" w:space="0" w:color="auto"/>
            <w:right w:val="none" w:sz="0" w:space="0" w:color="auto"/>
          </w:divBdr>
        </w:div>
        <w:div w:id="1681664638">
          <w:marLeft w:val="0"/>
          <w:marRight w:val="0"/>
          <w:marTop w:val="0"/>
          <w:marBottom w:val="0"/>
          <w:divBdr>
            <w:top w:val="none" w:sz="0" w:space="0" w:color="auto"/>
            <w:left w:val="none" w:sz="0" w:space="0" w:color="auto"/>
            <w:bottom w:val="none" w:sz="0" w:space="0" w:color="auto"/>
            <w:right w:val="none" w:sz="0" w:space="0" w:color="auto"/>
          </w:divBdr>
        </w:div>
        <w:div w:id="1681664650">
          <w:marLeft w:val="0"/>
          <w:marRight w:val="0"/>
          <w:marTop w:val="0"/>
          <w:marBottom w:val="0"/>
          <w:divBdr>
            <w:top w:val="none" w:sz="0" w:space="0" w:color="auto"/>
            <w:left w:val="none" w:sz="0" w:space="0" w:color="auto"/>
            <w:bottom w:val="none" w:sz="0" w:space="0" w:color="auto"/>
            <w:right w:val="none" w:sz="0" w:space="0" w:color="auto"/>
          </w:divBdr>
        </w:div>
        <w:div w:id="1681664654">
          <w:marLeft w:val="0"/>
          <w:marRight w:val="0"/>
          <w:marTop w:val="0"/>
          <w:marBottom w:val="0"/>
          <w:divBdr>
            <w:top w:val="none" w:sz="0" w:space="0" w:color="auto"/>
            <w:left w:val="none" w:sz="0" w:space="0" w:color="auto"/>
            <w:bottom w:val="none" w:sz="0" w:space="0" w:color="auto"/>
            <w:right w:val="none" w:sz="0" w:space="0" w:color="auto"/>
          </w:divBdr>
        </w:div>
      </w:divsChild>
    </w:div>
    <w:div w:id="1681664656">
      <w:marLeft w:val="0"/>
      <w:marRight w:val="0"/>
      <w:marTop w:val="0"/>
      <w:marBottom w:val="0"/>
      <w:divBdr>
        <w:top w:val="none" w:sz="0" w:space="0" w:color="auto"/>
        <w:left w:val="none" w:sz="0" w:space="0" w:color="auto"/>
        <w:bottom w:val="none" w:sz="0" w:space="0" w:color="auto"/>
        <w:right w:val="none" w:sz="0" w:space="0" w:color="auto"/>
      </w:divBdr>
      <w:divsChild>
        <w:div w:id="1681664646">
          <w:marLeft w:val="0"/>
          <w:marRight w:val="0"/>
          <w:marTop w:val="0"/>
          <w:marBottom w:val="0"/>
          <w:divBdr>
            <w:top w:val="none" w:sz="0" w:space="0" w:color="auto"/>
            <w:left w:val="none" w:sz="0" w:space="0" w:color="auto"/>
            <w:bottom w:val="none" w:sz="0" w:space="0" w:color="auto"/>
            <w:right w:val="none" w:sz="0" w:space="0" w:color="auto"/>
          </w:divBdr>
        </w:div>
        <w:div w:id="1681664648">
          <w:marLeft w:val="0"/>
          <w:marRight w:val="0"/>
          <w:marTop w:val="0"/>
          <w:marBottom w:val="0"/>
          <w:divBdr>
            <w:top w:val="none" w:sz="0" w:space="0" w:color="auto"/>
            <w:left w:val="none" w:sz="0" w:space="0" w:color="auto"/>
            <w:bottom w:val="none" w:sz="0" w:space="0" w:color="auto"/>
            <w:right w:val="none" w:sz="0" w:space="0" w:color="auto"/>
          </w:divBdr>
        </w:div>
        <w:div w:id="1681664657">
          <w:marLeft w:val="0"/>
          <w:marRight w:val="0"/>
          <w:marTop w:val="0"/>
          <w:marBottom w:val="0"/>
          <w:divBdr>
            <w:top w:val="none" w:sz="0" w:space="0" w:color="auto"/>
            <w:left w:val="none" w:sz="0" w:space="0" w:color="auto"/>
            <w:bottom w:val="none" w:sz="0" w:space="0" w:color="auto"/>
            <w:right w:val="none" w:sz="0" w:space="0" w:color="auto"/>
          </w:divBdr>
        </w:div>
        <w:div w:id="1681664658">
          <w:marLeft w:val="0"/>
          <w:marRight w:val="0"/>
          <w:marTop w:val="0"/>
          <w:marBottom w:val="0"/>
          <w:divBdr>
            <w:top w:val="none" w:sz="0" w:space="0" w:color="auto"/>
            <w:left w:val="none" w:sz="0" w:space="0" w:color="auto"/>
            <w:bottom w:val="none" w:sz="0" w:space="0" w:color="auto"/>
            <w:right w:val="none" w:sz="0" w:space="0" w:color="auto"/>
          </w:divBdr>
        </w:div>
      </w:divsChild>
    </w:div>
    <w:div w:id="1681664659">
      <w:marLeft w:val="0"/>
      <w:marRight w:val="0"/>
      <w:marTop w:val="0"/>
      <w:marBottom w:val="0"/>
      <w:divBdr>
        <w:top w:val="none" w:sz="0" w:space="0" w:color="auto"/>
        <w:left w:val="none" w:sz="0" w:space="0" w:color="auto"/>
        <w:bottom w:val="none" w:sz="0" w:space="0" w:color="auto"/>
        <w:right w:val="none" w:sz="0" w:space="0" w:color="auto"/>
      </w:divBdr>
      <w:divsChild>
        <w:div w:id="1681664632">
          <w:marLeft w:val="0"/>
          <w:marRight w:val="0"/>
          <w:marTop w:val="0"/>
          <w:marBottom w:val="0"/>
          <w:divBdr>
            <w:top w:val="none" w:sz="0" w:space="0" w:color="auto"/>
            <w:left w:val="none" w:sz="0" w:space="0" w:color="auto"/>
            <w:bottom w:val="none" w:sz="0" w:space="0" w:color="auto"/>
            <w:right w:val="none" w:sz="0" w:space="0" w:color="auto"/>
          </w:divBdr>
        </w:div>
        <w:div w:id="1681664636">
          <w:marLeft w:val="0"/>
          <w:marRight w:val="0"/>
          <w:marTop w:val="0"/>
          <w:marBottom w:val="0"/>
          <w:divBdr>
            <w:top w:val="none" w:sz="0" w:space="0" w:color="auto"/>
            <w:left w:val="none" w:sz="0" w:space="0" w:color="auto"/>
            <w:bottom w:val="none" w:sz="0" w:space="0" w:color="auto"/>
            <w:right w:val="none" w:sz="0" w:space="0" w:color="auto"/>
          </w:divBdr>
        </w:div>
        <w:div w:id="1681664642">
          <w:marLeft w:val="0"/>
          <w:marRight w:val="0"/>
          <w:marTop w:val="0"/>
          <w:marBottom w:val="0"/>
          <w:divBdr>
            <w:top w:val="none" w:sz="0" w:space="0" w:color="auto"/>
            <w:left w:val="none" w:sz="0" w:space="0" w:color="auto"/>
            <w:bottom w:val="none" w:sz="0" w:space="0" w:color="auto"/>
            <w:right w:val="none" w:sz="0" w:space="0" w:color="auto"/>
          </w:divBdr>
        </w:div>
      </w:divsChild>
    </w:div>
    <w:div w:id="1681664660">
      <w:marLeft w:val="0"/>
      <w:marRight w:val="0"/>
      <w:marTop w:val="0"/>
      <w:marBottom w:val="0"/>
      <w:divBdr>
        <w:top w:val="none" w:sz="0" w:space="0" w:color="auto"/>
        <w:left w:val="none" w:sz="0" w:space="0" w:color="auto"/>
        <w:bottom w:val="none" w:sz="0" w:space="0" w:color="auto"/>
        <w:right w:val="none" w:sz="0" w:space="0" w:color="auto"/>
      </w:divBdr>
      <w:divsChild>
        <w:div w:id="1681664627">
          <w:marLeft w:val="0"/>
          <w:marRight w:val="0"/>
          <w:marTop w:val="0"/>
          <w:marBottom w:val="0"/>
          <w:divBdr>
            <w:top w:val="none" w:sz="0" w:space="0" w:color="auto"/>
            <w:left w:val="none" w:sz="0" w:space="0" w:color="auto"/>
            <w:bottom w:val="none" w:sz="0" w:space="0" w:color="auto"/>
            <w:right w:val="none" w:sz="0" w:space="0" w:color="auto"/>
          </w:divBdr>
        </w:div>
        <w:div w:id="1681664640">
          <w:marLeft w:val="0"/>
          <w:marRight w:val="0"/>
          <w:marTop w:val="0"/>
          <w:marBottom w:val="0"/>
          <w:divBdr>
            <w:top w:val="none" w:sz="0" w:space="0" w:color="auto"/>
            <w:left w:val="none" w:sz="0" w:space="0" w:color="auto"/>
            <w:bottom w:val="none" w:sz="0" w:space="0" w:color="auto"/>
            <w:right w:val="none" w:sz="0" w:space="0" w:color="auto"/>
          </w:divBdr>
        </w:div>
        <w:div w:id="16816646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2C22E7-8DE2-4536-AFB5-7148A29749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625</Words>
  <Characters>3567</Characters>
  <Application>Microsoft Office Word</Application>
  <DocSecurity>0</DocSecurity>
  <Lines>29</Lines>
  <Paragraphs>8</Paragraphs>
  <ScaleCrop>false</ScaleCrop>
  <Company>微软中国</Company>
  <LinksUpToDate>false</LinksUpToDate>
  <CharactersWithSpaces>4184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丽委办发〔2019〕48号</dc:title>
  <dc:creator>微软用户</dc:creator>
  <cp:lastModifiedBy>jujumao</cp:lastModifiedBy>
  <cp:revision>6</cp:revision>
  <cp:lastPrinted>2019-09-18T02:20:00Z</cp:lastPrinted>
  <dcterms:created xsi:type="dcterms:W3CDTF">2019-09-17T07:10:00Z</dcterms:created>
  <dcterms:modified xsi:type="dcterms:W3CDTF">2019-09-18T02:21:00Z</dcterms:modified>
</cp:coreProperties>
</file>