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883" w:firstLineChars="200"/>
        <w:rPr>
          <w:rFonts w:hint="eastAsia" w:ascii="宋体" w:hAnsi="宋体" w:eastAsia="宋体" w:cs="宋体"/>
          <w:b/>
          <w:bCs/>
          <w:color w:val="auto"/>
          <w:sz w:val="44"/>
          <w:szCs w:val="44"/>
          <w:lang w:eastAsia="zh-CN"/>
        </w:rPr>
      </w:pPr>
      <w:bookmarkStart w:id="25" w:name="_GoBack"/>
      <w:r>
        <w:rPr>
          <w:rFonts w:hint="eastAsia" w:ascii="宋体" w:hAnsi="宋体" w:eastAsia="宋体" w:cs="宋体"/>
          <w:b/>
          <w:bCs/>
          <w:color w:val="auto"/>
          <w:sz w:val="44"/>
          <w:szCs w:val="44"/>
        </w:rPr>
        <w:t>2016-2020年</w:t>
      </w:r>
      <w:r>
        <w:rPr>
          <w:rFonts w:hint="eastAsia" w:ascii="宋体" w:hAnsi="宋体" w:eastAsia="宋体" w:cs="宋体"/>
          <w:b/>
          <w:bCs/>
          <w:color w:val="auto"/>
          <w:sz w:val="44"/>
          <w:szCs w:val="44"/>
          <w:lang w:eastAsia="zh-CN"/>
        </w:rPr>
        <w:t>市</w:t>
      </w:r>
      <w:r>
        <w:rPr>
          <w:rFonts w:hint="eastAsia" w:ascii="宋体" w:hAnsi="宋体" w:eastAsia="宋体" w:cs="宋体"/>
          <w:b/>
          <w:bCs/>
          <w:color w:val="auto"/>
          <w:sz w:val="44"/>
          <w:szCs w:val="44"/>
        </w:rPr>
        <w:t>农民培训专项</w:t>
      </w:r>
      <w:r>
        <w:rPr>
          <w:rFonts w:hint="eastAsia" w:ascii="宋体" w:hAnsi="宋体" w:eastAsia="宋体" w:cs="宋体"/>
          <w:b/>
          <w:bCs/>
          <w:color w:val="auto"/>
          <w:sz w:val="44"/>
          <w:szCs w:val="44"/>
          <w:lang w:eastAsia="zh-CN"/>
        </w:rPr>
        <w:t>资金</w:t>
      </w:r>
    </w:p>
    <w:p>
      <w:pPr>
        <w:pStyle w:val="2"/>
        <w:ind w:firstLine="2871" w:firstLineChars="650"/>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eastAsia="zh-CN"/>
        </w:rPr>
        <w:t>绩效评价报告</w:t>
      </w:r>
    </w:p>
    <w:bookmarkEnd w:id="25"/>
    <w:p>
      <w:pPr>
        <w:pStyle w:val="2"/>
        <w:ind w:firstLine="2080" w:firstLineChars="650"/>
        <w:rPr>
          <w:rFonts w:hint="default" w:ascii="宋体" w:hAnsi="宋体" w:eastAsia="宋体" w:cs="宋体"/>
          <w:b w:val="0"/>
          <w:bCs w:val="0"/>
          <w:color w:val="auto"/>
          <w:sz w:val="32"/>
          <w:szCs w:val="32"/>
          <w:lang w:val="en" w:eastAsia="zh-CN"/>
        </w:rPr>
      </w:pPr>
    </w:p>
    <w:p>
      <w:pPr>
        <w:snapToGrid w:val="0"/>
        <w:spacing w:line="500" w:lineRule="atLeast"/>
        <w:ind w:firstLine="640" w:firstLineChars="200"/>
        <w:rPr>
          <w:rFonts w:eastAsia="仿宋_GB2312"/>
          <w:sz w:val="32"/>
          <w:szCs w:val="32"/>
        </w:rPr>
      </w:pPr>
      <w:r>
        <w:rPr>
          <w:rFonts w:eastAsia="仿宋_GB2312"/>
          <w:sz w:val="32"/>
          <w:szCs w:val="32"/>
        </w:rPr>
        <w:t>为进一步加强财政支出绩效管理，提高财政资金使用效益和效率，根据《</w:t>
      </w:r>
      <w:r>
        <w:rPr>
          <w:rFonts w:hint="eastAsia" w:eastAsia="仿宋_GB2312"/>
          <w:sz w:val="32"/>
          <w:szCs w:val="32"/>
        </w:rPr>
        <w:t>中共丽水市委 丽水市人民政府关于全面实施预算绩效管理的若干意见</w:t>
      </w:r>
      <w:r>
        <w:rPr>
          <w:rFonts w:eastAsia="仿宋_GB2312"/>
          <w:sz w:val="32"/>
          <w:szCs w:val="32"/>
        </w:rPr>
        <w:t>》</w:t>
      </w:r>
      <w:r>
        <w:rPr>
          <w:rFonts w:hint="eastAsia" w:eastAsia="仿宋_GB2312"/>
          <w:sz w:val="32"/>
          <w:szCs w:val="32"/>
        </w:rPr>
        <w:t>（丽委发〔2019〕24号）、《丽水市委托第三方机构参与预算绩效管理暂行办法》（丽财监督〔2017〕171号 ）等</w:t>
      </w:r>
      <w:r>
        <w:rPr>
          <w:rFonts w:eastAsia="仿宋_GB2312"/>
          <w:sz w:val="32"/>
          <w:szCs w:val="32"/>
        </w:rPr>
        <w:t>规定，丽水市财政局委托浙江闰政管理咨询有限责任公司（以下简称“中介机构”或“评价组”）对丽水市农业农村局（以下简称“市农业农村局”）2016-2020年度农民培训专项资金项目（以下简称“项目”）开展绩效评价。</w:t>
      </w:r>
    </w:p>
    <w:p>
      <w:pPr>
        <w:snapToGrid w:val="0"/>
        <w:spacing w:line="500" w:lineRule="atLeast"/>
        <w:ind w:firstLine="640" w:firstLineChars="200"/>
        <w:rPr>
          <w:rFonts w:eastAsia="仿宋_GB2312"/>
          <w:sz w:val="32"/>
          <w:szCs w:val="32"/>
        </w:rPr>
      </w:pPr>
      <w:r>
        <w:rPr>
          <w:rFonts w:eastAsia="仿宋_GB2312"/>
          <w:sz w:val="32"/>
          <w:szCs w:val="32"/>
        </w:rPr>
        <w:t>本次绩效评价工作是为了掌握项目具体实施情况，分析资金使用绩效及问题，为后续专项资金管理提供决策依据。2021年</w:t>
      </w:r>
      <w:r>
        <w:rPr>
          <w:rFonts w:hint="eastAsia" w:eastAsia="仿宋_GB2312"/>
          <w:sz w:val="32"/>
          <w:szCs w:val="32"/>
        </w:rPr>
        <w:t>6月</w:t>
      </w:r>
      <w:r>
        <w:rPr>
          <w:rFonts w:hint="eastAsia" w:eastAsia="仿宋_GB2312"/>
          <w:sz w:val="32"/>
          <w:szCs w:val="32"/>
          <w:lang w:eastAsia="zh-CN"/>
        </w:rPr>
        <w:t>－</w:t>
      </w:r>
      <w:r>
        <w:rPr>
          <w:rFonts w:hint="eastAsia" w:eastAsia="仿宋_GB2312"/>
          <w:sz w:val="32"/>
          <w:szCs w:val="32"/>
        </w:rPr>
        <w:t>7</w:t>
      </w:r>
      <w:r>
        <w:rPr>
          <w:rFonts w:eastAsia="仿宋_GB2312"/>
          <w:sz w:val="32"/>
          <w:szCs w:val="32"/>
        </w:rPr>
        <w:t>月，中介机构通过资料收集、案卷分析、实地调研、</w:t>
      </w:r>
      <w:r>
        <w:rPr>
          <w:rFonts w:hint="eastAsia" w:eastAsia="仿宋_GB2312"/>
          <w:sz w:val="32"/>
          <w:szCs w:val="32"/>
        </w:rPr>
        <w:t>电话回访</w:t>
      </w:r>
      <w:r>
        <w:rPr>
          <w:rFonts w:eastAsia="仿宋_GB2312"/>
          <w:sz w:val="32"/>
          <w:szCs w:val="32"/>
        </w:rPr>
        <w:t>等方式完成该</w:t>
      </w:r>
      <w:r>
        <w:rPr>
          <w:rFonts w:hint="eastAsia" w:eastAsia="仿宋_GB2312"/>
          <w:sz w:val="32"/>
          <w:szCs w:val="32"/>
        </w:rPr>
        <w:t>项目</w:t>
      </w:r>
      <w:r>
        <w:rPr>
          <w:rFonts w:eastAsia="仿宋_GB2312"/>
          <w:sz w:val="32"/>
          <w:szCs w:val="32"/>
        </w:rPr>
        <w:t>的绩效评价工作，现形成报告如下：</w:t>
      </w:r>
    </w:p>
    <w:p>
      <w:pPr>
        <w:pStyle w:val="3"/>
        <w:snapToGrid w:val="0"/>
        <w:spacing w:before="0" w:after="0" w:line="500" w:lineRule="atLeast"/>
        <w:ind w:firstLine="640" w:firstLineChars="200"/>
        <w:rPr>
          <w:rFonts w:hint="eastAsia" w:eastAsia="黑体"/>
          <w:b w:val="0"/>
          <w:sz w:val="32"/>
          <w:szCs w:val="32"/>
        </w:rPr>
      </w:pPr>
      <w:r>
        <w:rPr>
          <w:rFonts w:eastAsia="黑体"/>
          <w:b w:val="0"/>
          <w:sz w:val="32"/>
          <w:szCs w:val="32"/>
        </w:rPr>
        <w:t>一、项目概况</w:t>
      </w:r>
    </w:p>
    <w:p>
      <w:pPr>
        <w:snapToGrid w:val="0"/>
        <w:spacing w:line="500" w:lineRule="atLeast"/>
        <w:ind w:firstLine="643" w:firstLineChars="200"/>
        <w:outlineLvl w:val="1"/>
        <w:rPr>
          <w:rFonts w:hint="eastAsia" w:ascii="楷体_GB2312" w:hAnsi="楷体_GB2312" w:eastAsia="楷体_GB2312" w:cs="楷体_GB2312"/>
          <w:b/>
          <w:bCs w:val="0"/>
          <w:sz w:val="32"/>
          <w:szCs w:val="32"/>
        </w:rPr>
      </w:pPr>
      <w:bookmarkStart w:id="0" w:name="_Toc74824853"/>
      <w:bookmarkStart w:id="1" w:name="_Toc72500199"/>
      <w:r>
        <w:rPr>
          <w:rFonts w:hint="eastAsia" w:ascii="楷体_GB2312" w:hAnsi="楷体_GB2312" w:eastAsia="楷体_GB2312" w:cs="楷体_GB2312"/>
          <w:b/>
          <w:bCs w:val="0"/>
          <w:sz w:val="32"/>
          <w:szCs w:val="32"/>
        </w:rPr>
        <w:t>（一）</w:t>
      </w:r>
      <w:bookmarkEnd w:id="0"/>
      <w:bookmarkEnd w:id="1"/>
      <w:r>
        <w:rPr>
          <w:rFonts w:hint="eastAsia" w:ascii="楷体_GB2312" w:hAnsi="楷体_GB2312" w:eastAsia="楷体_GB2312" w:cs="楷体_GB2312"/>
          <w:b/>
          <w:bCs w:val="0"/>
          <w:sz w:val="32"/>
          <w:szCs w:val="32"/>
        </w:rPr>
        <w:t>项目背景</w:t>
      </w:r>
    </w:p>
    <w:p>
      <w:pPr>
        <w:snapToGrid w:val="0"/>
        <w:spacing w:line="500" w:lineRule="atLeast"/>
        <w:ind w:firstLine="640" w:firstLineChars="200"/>
        <w:rPr>
          <w:rFonts w:hint="eastAsia" w:ascii="仿宋_GB2312" w:eastAsia="仿宋_GB2312"/>
          <w:sz w:val="32"/>
          <w:szCs w:val="32"/>
        </w:rPr>
      </w:pPr>
      <w:bookmarkStart w:id="2" w:name="_Toc74824854"/>
      <w:bookmarkStart w:id="3" w:name="_Toc72500200"/>
      <w:r>
        <w:rPr>
          <w:rFonts w:hint="eastAsia" w:ascii="仿宋_GB2312" w:eastAsia="仿宋_GB2312"/>
          <w:sz w:val="32"/>
          <w:szCs w:val="32"/>
        </w:rPr>
        <w:t>为全面推进农民教育培训转型升级、提质增效，进一步加强农村实用人才队伍建设，丽水市农业农村局根据《丽水市中长期人才发展规划纲要（2011-2020年）》的总体要求，出台了《丽水市农村实用人才队伍建设“十三五”规划》（丽农办〔2017〕9号）、《关于加强农村实用人才队伍建设助推乡村振兴的实施意见》（丽农办〔2018〕7号）等文件，按照“推动乡村人才振兴，加快完善农村人才培育体系”的总要求，结合当前丽水“三农”发展实际，以提高农民素质和就业创业技能为核心，以政策扶持为手段，整合资源、明确重点，开展多层次、多类型和多模式的农民教育培训，努力建设一支高觉悟、懂科技、善创业、留得住、用得上，数量充足、结构合理的农村实用人才队伍，为实施乡村振兴战略提供坚实的人才支撑。</w:t>
      </w:r>
    </w:p>
    <w:bookmarkEnd w:id="2"/>
    <w:bookmarkEnd w:id="3"/>
    <w:p>
      <w:pPr>
        <w:numPr>
          <w:ilvl w:val="0"/>
          <w:numId w:val="1"/>
        </w:num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项目立项</w:t>
      </w:r>
    </w:p>
    <w:p>
      <w:pPr>
        <w:snapToGrid w:val="0"/>
        <w:spacing w:line="500" w:lineRule="atLeast"/>
        <w:ind w:firstLine="640" w:firstLineChars="200"/>
        <w:rPr>
          <w:rFonts w:hint="eastAsia"/>
        </w:rPr>
      </w:pPr>
      <w:bookmarkStart w:id="4" w:name="_Hlk80351777"/>
      <w:r>
        <w:rPr>
          <w:rFonts w:hint="eastAsia" w:ascii="仿宋_GB2312" w:eastAsia="仿宋_GB2312"/>
          <w:sz w:val="32"/>
          <w:szCs w:val="32"/>
        </w:rPr>
        <w:t>根据《浙江省美丽乡村建设专项资金管理办法（试行）》（浙财农〔2015〕45号）、</w:t>
      </w:r>
      <w:r>
        <w:rPr>
          <w:rFonts w:hint="eastAsia" w:ascii="仿宋_GB2312" w:hAnsi="宋体" w:eastAsia="仿宋_GB2312" w:cs="宋体"/>
          <w:sz w:val="32"/>
          <w:szCs w:val="32"/>
        </w:rPr>
        <w:t>《省级农村实用人才和新型职业农民高级培训项目管理办法》（浙农办〔2018〕23号）等文件</w:t>
      </w:r>
      <w:r>
        <w:rPr>
          <w:rFonts w:hint="eastAsia" w:ascii="仿宋_GB2312" w:eastAsia="仿宋_GB2312"/>
          <w:sz w:val="32"/>
          <w:szCs w:val="32"/>
        </w:rPr>
        <w:t>，丽水市农业农村局印发《丽水市级农民培训项目管理实施细则（试行）》</w:t>
      </w:r>
      <w:bookmarkStart w:id="5" w:name="_Hlk80348763"/>
      <w:r>
        <w:rPr>
          <w:rFonts w:hint="eastAsia" w:ascii="仿宋_GB2312" w:eastAsia="仿宋_GB2312"/>
          <w:sz w:val="32"/>
          <w:szCs w:val="32"/>
        </w:rPr>
        <w:t>（丽农办〔2018〕11号）</w:t>
      </w:r>
      <w:bookmarkEnd w:id="5"/>
      <w:r>
        <w:rPr>
          <w:rFonts w:hint="eastAsia" w:ascii="仿宋_GB2312" w:eastAsia="仿宋_GB2312"/>
          <w:sz w:val="32"/>
          <w:szCs w:val="32"/>
        </w:rPr>
        <w:t>，并依据</w:t>
      </w:r>
      <w:r>
        <w:rPr>
          <w:rFonts w:hint="eastAsia" w:ascii="仿宋_GB2312" w:hAnsi="宋体" w:eastAsia="仿宋_GB2312" w:cs="宋体"/>
          <w:sz w:val="32"/>
          <w:szCs w:val="32"/>
        </w:rPr>
        <w:t>浙江</w:t>
      </w:r>
      <w:r>
        <w:rPr>
          <w:rFonts w:hint="eastAsia" w:ascii="仿宋_GB2312" w:eastAsia="仿宋_GB2312"/>
          <w:sz w:val="32"/>
          <w:szCs w:val="32"/>
        </w:rPr>
        <w:t>省农业农村厅各年度农民教育培训工作计划</w:t>
      </w:r>
      <w:r>
        <w:rPr>
          <w:rStyle w:val="8"/>
          <w:rFonts w:hint="eastAsia" w:ascii="仿宋_GB2312" w:eastAsia="仿宋_GB2312"/>
          <w:sz w:val="32"/>
          <w:szCs w:val="32"/>
        </w:rPr>
        <w:footnoteReference w:id="0"/>
      </w:r>
      <w:r>
        <w:rPr>
          <w:rFonts w:hint="eastAsia" w:ascii="仿宋_GB2312" w:eastAsia="仿宋_GB2312"/>
          <w:sz w:val="32"/>
          <w:szCs w:val="32"/>
        </w:rPr>
        <w:t>，安排省级农民培训资金和市级农民培训专项资金，用于提高农村从业人员、服务农村相关人员建设新农村及发展农业相关产业的能力水平，促进农村经济和社会发展所开展的农民培训。</w:t>
      </w:r>
    </w:p>
    <w:p>
      <w:pPr>
        <w:numPr>
          <w:ilvl w:val="0"/>
          <w:numId w:val="1"/>
        </w:num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项目内容</w:t>
      </w:r>
    </w:p>
    <w:bookmarkEnd w:id="4"/>
    <w:p>
      <w:pPr>
        <w:snapToGrid w:val="0"/>
        <w:spacing w:line="500" w:lineRule="atLeast"/>
        <w:ind w:firstLine="643" w:firstLineChars="200"/>
        <w:rPr>
          <w:rFonts w:hint="eastAsia" w:ascii="仿宋_GB2312" w:eastAsia="仿宋_GB2312"/>
          <w:b/>
          <w:bCs/>
          <w:sz w:val="32"/>
          <w:szCs w:val="32"/>
        </w:rPr>
      </w:pPr>
      <w:r>
        <w:rPr>
          <w:rFonts w:ascii="仿宋_GB2312" w:eastAsia="仿宋_GB2312"/>
          <w:b/>
          <w:bCs/>
          <w:sz w:val="32"/>
          <w:szCs w:val="32"/>
        </w:rPr>
        <w:t>1.培训内容</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丽水市农村实用人才队伍建设“十三五”规划》（丽农办〔2017〕9号）明确，农村实用人才培育重点为扶贫创业致富带头人培育、生态精品农业人才培育、农家乐民宿乡村旅游人才培育、农村电商人才培育、来料加工人才培育、超市经营创业人才、乡村春晚人才培育等七个方面。</w:t>
      </w:r>
    </w:p>
    <w:p>
      <w:pPr>
        <w:snapToGrid w:val="0"/>
        <w:spacing w:line="500" w:lineRule="atLeast"/>
        <w:ind w:firstLine="643" w:firstLineChars="200"/>
        <w:rPr>
          <w:rFonts w:eastAsia="仿宋_GB2312"/>
          <w:sz w:val="32"/>
          <w:szCs w:val="32"/>
        </w:rPr>
      </w:pPr>
      <w:r>
        <w:rPr>
          <w:rFonts w:hint="eastAsia" w:ascii="仿宋_GB2312" w:hAnsi="仿宋_GB2312" w:eastAsia="仿宋_GB2312" w:cs="仿宋_GB2312"/>
          <w:b/>
          <w:bCs/>
          <w:sz w:val="32"/>
          <w:szCs w:val="32"/>
        </w:rPr>
        <w:t>（1）培训对象：</w:t>
      </w:r>
      <w:r>
        <w:rPr>
          <w:rFonts w:eastAsia="仿宋_GB2312"/>
          <w:sz w:val="32"/>
          <w:szCs w:val="32"/>
        </w:rPr>
        <w:t>新农村建设和农业现代化建设急需的农村实用人才和新型职业农民，包括生产型、经营型、技能服务型、技能带动型和社会管理服务型等五类人才。</w:t>
      </w:r>
      <w:r>
        <w:rPr>
          <w:rFonts w:hint="eastAsia" w:eastAsia="仿宋_GB2312"/>
          <w:sz w:val="32"/>
          <w:szCs w:val="32"/>
        </w:rPr>
        <w:t>培训对象由各县（市、区）根据培训课程要求进行筛选和推荐。</w:t>
      </w:r>
    </w:p>
    <w:p>
      <w:pPr>
        <w:snapToGrid w:val="0"/>
        <w:spacing w:line="500" w:lineRule="atLeast"/>
        <w:ind w:firstLine="643" w:firstLineChars="200"/>
        <w:rPr>
          <w:rFonts w:eastAsia="仿宋_GB2312"/>
          <w:sz w:val="32"/>
          <w:szCs w:val="32"/>
        </w:rPr>
      </w:pPr>
      <w:r>
        <w:rPr>
          <w:rFonts w:hint="eastAsia" w:ascii="仿宋_GB2312" w:hAnsi="仿宋_GB2312" w:eastAsia="仿宋_GB2312" w:cs="仿宋_GB2312"/>
          <w:b/>
          <w:bCs/>
          <w:sz w:val="32"/>
          <w:szCs w:val="32"/>
        </w:rPr>
        <w:t>（2）培训机构：</w:t>
      </w:r>
      <w:r>
        <w:rPr>
          <w:rFonts w:eastAsia="仿宋_GB2312"/>
          <w:sz w:val="32"/>
          <w:szCs w:val="32"/>
        </w:rPr>
        <w:t>借助丽水职业技术学院（丽水农民学院）</w:t>
      </w:r>
      <w:r>
        <w:rPr>
          <w:rFonts w:hint="eastAsia" w:eastAsia="仿宋_GB2312"/>
          <w:sz w:val="32"/>
          <w:szCs w:val="32"/>
        </w:rPr>
        <w:t>、</w:t>
      </w:r>
      <w:r>
        <w:rPr>
          <w:rFonts w:eastAsia="仿宋_GB2312"/>
          <w:sz w:val="32"/>
          <w:szCs w:val="32"/>
        </w:rPr>
        <w:t>丽水市委党校、丽水学院、丽水电大等，实施“订单式”精准培育，以实训基地体验式教学、聘请知名专家讲学，设置相应的农民培训课程。</w:t>
      </w:r>
    </w:p>
    <w:p>
      <w:pPr>
        <w:snapToGrid w:val="0"/>
        <w:spacing w:line="500" w:lineRule="atLeas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（3）培训类型：</w:t>
      </w:r>
      <w:r>
        <w:rPr>
          <w:rFonts w:hint="eastAsia" w:ascii="仿宋_GB2312" w:eastAsia="仿宋_GB2312"/>
          <w:sz w:val="32"/>
          <w:szCs w:val="32"/>
        </w:rPr>
        <w:t>主要分为五天理论课、三天理论课+两天实训课。</w:t>
      </w:r>
    </w:p>
    <w:p>
      <w:pPr>
        <w:snapToGrid w:val="0"/>
        <w:spacing w:line="500" w:lineRule="atLeast"/>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rPr>
        <w:t>（4）培训补助标准：</w:t>
      </w:r>
      <w:r>
        <w:rPr>
          <w:rFonts w:hint="eastAsia" w:ascii="仿宋_GB2312" w:eastAsia="仿宋_GB2312"/>
          <w:sz w:val="32"/>
          <w:szCs w:val="32"/>
        </w:rPr>
        <w:t>按不同类型给予补助，农村实用人才出境培训人均补助5000元；五天理论课人均补助1200元；三天理论课+两天实训课人均补助1400元；培训后学员参加考证，考证费另行补助。</w:t>
      </w:r>
    </w:p>
    <w:p>
      <w:pPr>
        <w:snapToGrid w:val="0"/>
        <w:spacing w:line="500" w:lineRule="atLeast"/>
        <w:ind w:firstLine="643" w:firstLineChars="200"/>
        <w:rPr>
          <w:rFonts w:ascii="仿宋_GB2312" w:eastAsia="仿宋_GB2312"/>
          <w:b/>
          <w:bCs/>
          <w:sz w:val="32"/>
          <w:szCs w:val="32"/>
        </w:rPr>
      </w:pPr>
      <w:r>
        <w:rPr>
          <w:rFonts w:ascii="仿宋_GB2312" w:eastAsia="仿宋_GB2312"/>
          <w:b/>
          <w:bCs/>
          <w:sz w:val="32"/>
          <w:szCs w:val="32"/>
        </w:rPr>
        <w:t>2.</w:t>
      </w:r>
      <w:r>
        <w:rPr>
          <w:rFonts w:hint="eastAsia" w:ascii="仿宋_GB2312" w:eastAsia="仿宋_GB2312"/>
          <w:b/>
          <w:bCs/>
          <w:sz w:val="32"/>
          <w:szCs w:val="32"/>
        </w:rPr>
        <w:t>组织实施</w:t>
      </w:r>
    </w:p>
    <w:p>
      <w:pPr>
        <w:snapToGrid w:val="0"/>
        <w:spacing w:line="500" w:lineRule="atLeast"/>
        <w:ind w:firstLine="640" w:firstLineChars="200"/>
        <w:rPr>
          <w:rFonts w:hint="eastAsia" w:ascii="仿宋_GB2312" w:eastAsia="仿宋_GB2312"/>
          <w:sz w:val="32"/>
          <w:szCs w:val="32"/>
          <w:lang w:val="zh-CN"/>
        </w:rPr>
      </w:pPr>
      <w:r>
        <w:rPr>
          <w:rFonts w:hint="eastAsia" w:ascii="仿宋_GB2312" w:eastAsia="仿宋_GB2312"/>
          <w:sz w:val="32"/>
          <w:szCs w:val="32"/>
          <w:lang w:val="zh-CN"/>
        </w:rPr>
        <w:t>市农业农村局为项目主管牵头部门，负责项目的综合协调工作，承担计划制订、项目审核、机构认定、检查评估等综合管理职能；市直培训项目主办单位为项目组织实施部门，承担本行业人才培养规划、需求调查、学员选拔和跟踪服务等具体工作职能；培训机构为项目执行部门，主要由丽水农民学院、丽水市乡村振兴讲习所（丽水学院、丽水职业技术学院、丽水电大）承担</w:t>
      </w:r>
      <w:r>
        <w:rPr>
          <w:rStyle w:val="8"/>
          <w:rFonts w:hint="eastAsia" w:ascii="仿宋_GB2312" w:eastAsia="仿宋_GB2312"/>
          <w:sz w:val="32"/>
          <w:szCs w:val="32"/>
          <w:lang w:val="zh-CN"/>
        </w:rPr>
        <w:footnoteReference w:id="1"/>
      </w:r>
      <w:r>
        <w:rPr>
          <w:rFonts w:hint="eastAsia" w:ascii="仿宋_GB2312" w:eastAsia="仿宋_GB2312"/>
          <w:sz w:val="32"/>
          <w:szCs w:val="32"/>
          <w:lang w:val="zh-CN"/>
        </w:rPr>
        <w:t>，由市农业农村局分配年度培训任务，接受市农业农村局和市直培训项目主办单位的业务指导与管理。</w:t>
      </w:r>
    </w:p>
    <w:p>
      <w:pPr>
        <w:snapToGrid w:val="0"/>
        <w:spacing w:line="500" w:lineRule="atLeas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项目年初由各主办单位申报培训需求，制定培训计划并安排资金。当年培训计划确定后，主办单位</w:t>
      </w:r>
      <w:r>
        <w:rPr>
          <w:rFonts w:hint="eastAsia" w:ascii="仿宋_GB2312" w:hAnsi="仿宋_GB2312" w:eastAsia="仿宋_GB2312" w:cs="仿宋_GB2312"/>
          <w:sz w:val="32"/>
          <w:szCs w:val="32"/>
        </w:rPr>
        <w:t>确定培训机构，并与培训机构协商确定培训内容</w:t>
      </w:r>
      <w:r>
        <w:rPr>
          <w:rFonts w:hint="eastAsia" w:ascii="仿宋_GB2312" w:hAnsi="仿宋_GB2312" w:eastAsia="仿宋_GB2312" w:cs="仿宋_GB2312"/>
          <w:sz w:val="32"/>
          <w:szCs w:val="32"/>
          <w:lang w:val="zh-CN"/>
        </w:rPr>
        <w:t>。主办单位按</w:t>
      </w: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val="zh-CN"/>
        </w:rPr>
        <w:t>计划人数招生，</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val="zh-CN"/>
        </w:rPr>
        <w:t>向市农业农村局提交办班申请审批。培训过程中，主办单位负责对培训课程进行抽查，以保障培训整体质量。培训完成后，由培训机构整理培训台账、报账资料</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val="zh-CN"/>
        </w:rPr>
        <w:t>提交市农业农村局进行审核。培训机构</w:t>
      </w:r>
      <w:r>
        <w:rPr>
          <w:rFonts w:hint="eastAsia" w:ascii="仿宋_GB2312" w:hAnsi="仿宋_GB2312" w:eastAsia="仿宋_GB2312" w:cs="仿宋_GB2312"/>
          <w:sz w:val="32"/>
          <w:szCs w:val="32"/>
        </w:rPr>
        <w:t>对培训效果</w:t>
      </w:r>
      <w:r>
        <w:rPr>
          <w:rFonts w:hint="eastAsia" w:ascii="仿宋_GB2312" w:hAnsi="仿宋_GB2312" w:eastAsia="仿宋_GB2312" w:cs="仿宋_GB2312"/>
          <w:sz w:val="32"/>
          <w:szCs w:val="32"/>
          <w:lang w:val="zh-CN"/>
        </w:rPr>
        <w:t>进行追踪和电话回访。</w:t>
      </w:r>
    </w:p>
    <w:p>
      <w:pPr>
        <w:pStyle w:val="2"/>
        <w:rPr>
          <w:rFonts w:hint="eastAsia"/>
          <w:lang w:val="zh-CN"/>
        </w:rPr>
      </w:pPr>
    </w:p>
    <w:p>
      <w:p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（四）项目预算及执行情况</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项目资金来源包括省级农民培训资金和市级财政专项培训资金。</w:t>
      </w:r>
    </w:p>
    <w:p>
      <w:pPr>
        <w:snapToGrid w:val="0"/>
        <w:spacing w:line="500" w:lineRule="atLeast"/>
        <w:ind w:firstLine="643" w:firstLineChars="200"/>
        <w:rPr>
          <w:rFonts w:hint="eastAsia" w:eastAsia="仿宋_GB2312"/>
          <w:sz w:val="32"/>
          <w:szCs w:val="32"/>
        </w:rPr>
      </w:pPr>
      <w:r>
        <w:rPr>
          <w:rFonts w:hint="eastAsia" w:ascii="仿宋_GB2312" w:eastAsia="仿宋_GB2312"/>
          <w:b/>
          <w:bCs/>
          <w:sz w:val="32"/>
          <w:szCs w:val="32"/>
        </w:rPr>
        <w:t>1.省级农民培训资金：</w:t>
      </w:r>
      <w:r>
        <w:rPr>
          <w:rFonts w:hint="eastAsia" w:ascii="仿宋_GB2312" w:eastAsia="仿宋_GB2312"/>
          <w:sz w:val="32"/>
          <w:szCs w:val="32"/>
        </w:rPr>
        <w:t>根据每年年初丽水市级上报的培训人数，按照2000元/人的标准下拨农民培训专项资金，并明确丽水市级</w:t>
      </w:r>
      <w:r>
        <w:rPr>
          <w:rStyle w:val="8"/>
          <w:rFonts w:hint="eastAsia" w:ascii="仿宋_GB2312" w:eastAsia="仿宋_GB2312"/>
          <w:sz w:val="32"/>
          <w:szCs w:val="32"/>
        </w:rPr>
        <w:footnoteReference w:id="2"/>
      </w:r>
      <w:r>
        <w:rPr>
          <w:rFonts w:hint="eastAsia" w:ascii="仿宋_GB2312" w:eastAsia="仿宋_GB2312"/>
          <w:sz w:val="32"/>
          <w:szCs w:val="32"/>
        </w:rPr>
        <w:t>需承担的培训任务数，当年省级农民培训专项资金未使用部分可结转次年使用。2016-2020年，省级农民培训资金应下拨丽水市级共计1346万元，其中：下拨市级376万元、下拨县级</w:t>
      </w:r>
      <w:r>
        <w:rPr>
          <w:rFonts w:hint="eastAsia" w:eastAsia="仿宋_GB2312"/>
          <w:sz w:val="32"/>
          <w:szCs w:val="32"/>
        </w:rPr>
        <w:t>970万元</w:t>
      </w:r>
      <w:r>
        <w:rPr>
          <w:rFonts w:hint="eastAsia" w:ascii="仿宋_GB2312" w:eastAsia="仿宋_GB2312"/>
          <w:sz w:val="32"/>
          <w:szCs w:val="32"/>
        </w:rPr>
        <w:t>（因2017-2019年省级落实到市级的培训任务分解至县级，省级资金跟随任务直接下拨至县级）</w:t>
      </w:r>
      <w:r>
        <w:rPr>
          <w:rFonts w:hint="eastAsia" w:ascii="仿宋_GB2312" w:hAnsi="黑体" w:eastAsia="仿宋_GB2312" w:cs="仿宋_GB2312"/>
          <w:kern w:val="0"/>
          <w:sz w:val="32"/>
          <w:szCs w:val="32"/>
        </w:rPr>
        <w:t>。</w:t>
      </w:r>
    </w:p>
    <w:p>
      <w:pPr>
        <w:snapToGrid w:val="0"/>
        <w:spacing w:line="500" w:lineRule="atLeast"/>
        <w:ind w:firstLine="643" w:firstLineChars="200"/>
        <w:rPr>
          <w:rFonts w:ascii="仿宋_GB2312" w:eastAsia="仿宋_GB2312"/>
          <w:sz w:val="32"/>
          <w:szCs w:val="32"/>
        </w:rPr>
      </w:pPr>
      <w:r>
        <w:rPr>
          <w:rFonts w:hint="eastAsia" w:ascii="仿宋_GB2312" w:eastAsia="仿宋_GB2312"/>
          <w:b/>
          <w:bCs/>
          <w:sz w:val="32"/>
          <w:szCs w:val="32"/>
        </w:rPr>
        <w:t>2.市级财政专项培训资金：</w:t>
      </w:r>
      <w:r>
        <w:rPr>
          <w:rFonts w:hint="eastAsia" w:ascii="仿宋_GB2312" w:eastAsia="仿宋_GB2312"/>
          <w:sz w:val="32"/>
          <w:szCs w:val="32"/>
        </w:rPr>
        <w:t>2016-2020年，市级财政每年安排100万元专项资金用于农民培训。</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2016-2020年，丽水市级农民培训实际支出980.61万元，其中：省级资金支出493.6702万元，市级资金支出486.93万元。省级资金下拨市级、省级资金下拨县级及市级资金用于农民培训的使用情况具体详见表1。</w:t>
      </w:r>
    </w:p>
    <w:p>
      <w:pPr>
        <w:pStyle w:val="2"/>
        <w:snapToGrid w:val="0"/>
        <w:spacing w:line="500" w:lineRule="atLeast"/>
        <w:ind w:left="0"/>
        <w:jc w:val="center"/>
        <w:rPr>
          <w:rFonts w:ascii="Times New Roman" w:hAnsi="Times New Roman" w:eastAsia="黑体"/>
          <w:sz w:val="28"/>
          <w:szCs w:val="28"/>
        </w:rPr>
      </w:pPr>
      <w:r>
        <w:rPr>
          <w:rFonts w:ascii="Times New Roman" w:hAnsi="Times New Roman" w:eastAsia="黑体"/>
          <w:sz w:val="28"/>
          <w:szCs w:val="28"/>
        </w:rPr>
        <w:t>表1：2016-2020年度</w:t>
      </w:r>
      <w:r>
        <w:rPr>
          <w:rFonts w:hint="eastAsia" w:ascii="Times New Roman" w:hAnsi="Times New Roman" w:eastAsia="黑体"/>
          <w:sz w:val="28"/>
          <w:szCs w:val="28"/>
        </w:rPr>
        <w:t>省级资金、市级</w:t>
      </w:r>
      <w:r>
        <w:rPr>
          <w:rFonts w:ascii="Times New Roman" w:hAnsi="Times New Roman" w:eastAsia="黑体"/>
          <w:sz w:val="28"/>
          <w:szCs w:val="28"/>
        </w:rPr>
        <w:t>资金执行情况表</w:t>
      </w:r>
    </w:p>
    <w:p>
      <w:pPr>
        <w:pStyle w:val="2"/>
        <w:snapToGrid w:val="0"/>
        <w:spacing w:line="500" w:lineRule="atLeast"/>
        <w:ind w:left="0"/>
        <w:jc w:val="right"/>
        <w:rPr>
          <w:rFonts w:hint="eastAsia" w:ascii="Times New Roman" w:hAnsi="Times New Roman"/>
          <w:sz w:val="24"/>
          <w:szCs w:val="24"/>
        </w:rPr>
      </w:pPr>
      <w:r>
        <w:rPr>
          <w:rFonts w:ascii="Times New Roman" w:hAnsi="Times New Roman"/>
          <w:sz w:val="24"/>
          <w:szCs w:val="24"/>
        </w:rPr>
        <w:t>单位：万元</w:t>
      </w:r>
    </w:p>
    <w:tbl>
      <w:tblPr>
        <w:tblStyle w:val="6"/>
        <w:tblW w:w="9993" w:type="dxa"/>
        <w:tblInd w:w="-603" w:type="dxa"/>
        <w:tblLayout w:type="fixed"/>
        <w:tblCellMar>
          <w:top w:w="0" w:type="dxa"/>
          <w:left w:w="108" w:type="dxa"/>
          <w:bottom w:w="0" w:type="dxa"/>
          <w:right w:w="108" w:type="dxa"/>
        </w:tblCellMar>
      </w:tblPr>
      <w:tblGrid>
        <w:gridCol w:w="635"/>
        <w:gridCol w:w="704"/>
        <w:gridCol w:w="646"/>
        <w:gridCol w:w="1062"/>
        <w:gridCol w:w="1073"/>
        <w:gridCol w:w="1061"/>
        <w:gridCol w:w="1027"/>
        <w:gridCol w:w="1085"/>
        <w:gridCol w:w="900"/>
        <w:gridCol w:w="877"/>
        <w:gridCol w:w="923"/>
      </w:tblGrid>
      <w:tr>
        <w:tblPrEx>
          <w:tblCellMar>
            <w:top w:w="0" w:type="dxa"/>
            <w:left w:w="108" w:type="dxa"/>
            <w:bottom w:w="0" w:type="dxa"/>
            <w:right w:w="108" w:type="dxa"/>
          </w:tblCellMar>
        </w:tblPrEx>
        <w:trPr>
          <w:trHeight w:val="1191" w:hRule="atLeast"/>
          <w:tblHeader/>
        </w:trPr>
        <w:tc>
          <w:tcPr>
            <w:tcW w:w="635"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ascii="宋体" w:hAnsi="宋体" w:cs="宋体"/>
                <w:b/>
                <w:bCs/>
                <w:kern w:val="0"/>
                <w:sz w:val="20"/>
              </w:rPr>
            </w:pPr>
            <w:r>
              <w:rPr>
                <w:rFonts w:hint="eastAsia" w:ascii="宋体" w:hAnsi="宋体" w:cs="宋体"/>
                <w:b/>
                <w:bCs/>
                <w:kern w:val="0"/>
                <w:sz w:val="20"/>
              </w:rPr>
              <w:t>年度</w:t>
            </w:r>
          </w:p>
        </w:tc>
        <w:tc>
          <w:tcPr>
            <w:tcW w:w="704" w:type="dxa"/>
            <w:tcBorders>
              <w:top w:val="single" w:color="auto" w:sz="4" w:space="0"/>
              <w:left w:val="nil"/>
              <w:bottom w:val="single" w:color="auto" w:sz="4" w:space="0"/>
              <w:right w:val="single" w:color="auto" w:sz="4" w:space="0"/>
            </w:tcBorders>
            <w:shd w:val="clear" w:color="auto" w:fill="BFBFBF"/>
            <w:noWrap/>
            <w:vAlign w:val="center"/>
          </w:tcPr>
          <w:p>
            <w:pPr>
              <w:widowControl/>
              <w:jc w:val="center"/>
              <w:rPr>
                <w:rFonts w:hint="eastAsia" w:ascii="宋体" w:hAnsi="宋体" w:cs="宋体"/>
                <w:b/>
                <w:bCs/>
                <w:kern w:val="0"/>
                <w:sz w:val="20"/>
              </w:rPr>
            </w:pPr>
            <w:r>
              <w:rPr>
                <w:rFonts w:hint="eastAsia" w:ascii="宋体" w:hAnsi="宋体" w:cs="宋体"/>
                <w:b/>
                <w:bCs/>
                <w:kern w:val="0"/>
                <w:sz w:val="20"/>
              </w:rPr>
              <w:t>省级资金下拨</w:t>
            </w:r>
          </w:p>
          <w:p>
            <w:pPr>
              <w:widowControl/>
              <w:jc w:val="center"/>
              <w:rPr>
                <w:rFonts w:hint="eastAsia" w:ascii="宋体" w:hAnsi="宋体" w:cs="宋体"/>
                <w:b/>
                <w:bCs/>
                <w:kern w:val="0"/>
                <w:sz w:val="20"/>
              </w:rPr>
            </w:pPr>
            <w:r>
              <w:rPr>
                <w:rFonts w:hint="eastAsia" w:ascii="宋体" w:hAnsi="宋体" w:cs="宋体"/>
                <w:b/>
                <w:bCs/>
                <w:kern w:val="0"/>
                <w:sz w:val="20"/>
              </w:rPr>
              <w:t>市级</w:t>
            </w:r>
          </w:p>
        </w:tc>
        <w:tc>
          <w:tcPr>
            <w:tcW w:w="646"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市级资金安排</w:t>
            </w:r>
          </w:p>
        </w:tc>
        <w:tc>
          <w:tcPr>
            <w:tcW w:w="1062"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上年</w:t>
            </w:r>
          </w:p>
          <w:p>
            <w:pPr>
              <w:widowControl/>
              <w:jc w:val="center"/>
              <w:rPr>
                <w:rFonts w:hint="eastAsia" w:ascii="宋体" w:hAnsi="宋体" w:cs="宋体"/>
                <w:b/>
                <w:bCs/>
                <w:kern w:val="0"/>
                <w:sz w:val="20"/>
              </w:rPr>
            </w:pPr>
            <w:r>
              <w:rPr>
                <w:rFonts w:hint="eastAsia" w:ascii="宋体" w:hAnsi="宋体" w:cs="宋体"/>
                <w:b/>
                <w:bCs/>
                <w:kern w:val="0"/>
                <w:sz w:val="20"/>
              </w:rPr>
              <w:t>结余结转</w:t>
            </w:r>
          </w:p>
        </w:tc>
        <w:tc>
          <w:tcPr>
            <w:tcW w:w="1073"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当年资金安排总数</w:t>
            </w:r>
          </w:p>
        </w:tc>
        <w:tc>
          <w:tcPr>
            <w:tcW w:w="1061"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省级资金下拨市级支出</w:t>
            </w:r>
          </w:p>
        </w:tc>
        <w:tc>
          <w:tcPr>
            <w:tcW w:w="1027"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市级资金支出</w:t>
            </w:r>
          </w:p>
        </w:tc>
        <w:tc>
          <w:tcPr>
            <w:tcW w:w="1085"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当年实际总支出</w:t>
            </w:r>
          </w:p>
        </w:tc>
        <w:tc>
          <w:tcPr>
            <w:tcW w:w="900"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资金执行率</w:t>
            </w:r>
          </w:p>
        </w:tc>
        <w:tc>
          <w:tcPr>
            <w:tcW w:w="877"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省级资金下拨县级</w:t>
            </w:r>
          </w:p>
        </w:tc>
        <w:tc>
          <w:tcPr>
            <w:tcW w:w="923" w:type="dxa"/>
            <w:tcBorders>
              <w:top w:val="single" w:color="auto" w:sz="4" w:space="0"/>
              <w:left w:val="single" w:color="auto" w:sz="4" w:space="0"/>
              <w:bottom w:val="single" w:color="auto" w:sz="4" w:space="0"/>
              <w:right w:val="single" w:color="auto" w:sz="4" w:space="0"/>
            </w:tcBorders>
            <w:shd w:val="clear" w:color="auto" w:fill="BFBFBF"/>
            <w:noWrap w:val="0"/>
            <w:vAlign w:val="center"/>
          </w:tcPr>
          <w:p>
            <w:pPr>
              <w:widowControl/>
              <w:jc w:val="center"/>
              <w:rPr>
                <w:rFonts w:hint="eastAsia" w:ascii="宋体" w:hAnsi="宋体" w:cs="宋体"/>
                <w:b/>
                <w:bCs/>
                <w:kern w:val="0"/>
                <w:sz w:val="20"/>
              </w:rPr>
            </w:pPr>
            <w:r>
              <w:rPr>
                <w:rFonts w:hint="eastAsia" w:ascii="宋体" w:hAnsi="宋体" w:cs="宋体"/>
                <w:b/>
                <w:bCs/>
                <w:kern w:val="0"/>
                <w:sz w:val="20"/>
              </w:rPr>
              <w:t>省级资金下拨县级支出</w:t>
            </w:r>
          </w:p>
        </w:tc>
      </w:tr>
      <w:tr>
        <w:tblPrEx>
          <w:tblCellMar>
            <w:top w:w="0" w:type="dxa"/>
            <w:left w:w="108" w:type="dxa"/>
            <w:bottom w:w="0" w:type="dxa"/>
            <w:right w:w="108" w:type="dxa"/>
          </w:tblCellMar>
        </w:tblPrEx>
        <w:trPr>
          <w:trHeight w:val="357"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0"/>
              </w:rPr>
            </w:pPr>
            <w:r>
              <w:rPr>
                <w:rFonts w:hint="eastAsia" w:ascii="宋体" w:hAnsi="宋体" w:cs="宋体"/>
                <w:kern w:val="0"/>
                <w:sz w:val="20"/>
              </w:rPr>
              <w:t>2016</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160</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127.2967</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0"/>
                <w:lang w:bidi="ar"/>
              </w:rPr>
            </w:pPr>
            <w:r>
              <w:rPr>
                <w:rFonts w:hint="eastAsia" w:ascii="宋体" w:hAnsi="宋体" w:cs="宋体"/>
                <w:color w:val="000000"/>
                <w:kern w:val="0"/>
                <w:sz w:val="20"/>
                <w:lang w:bidi="ar"/>
              </w:rPr>
              <w:t>387.2967</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152.5999</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85"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252.5999</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kern w:val="0"/>
                <w:sz w:val="20"/>
              </w:rPr>
            </w:pPr>
            <w:r>
              <w:rPr>
                <w:rFonts w:hint="eastAsia" w:ascii="宋体" w:hAnsi="宋体" w:cs="宋体"/>
                <w:color w:val="000000"/>
                <w:kern w:val="0"/>
                <w:sz w:val="20"/>
                <w:lang w:bidi="ar"/>
              </w:rPr>
              <w:t>65.22%</w:t>
            </w:r>
          </w:p>
        </w:tc>
        <w:tc>
          <w:tcPr>
            <w:tcW w:w="877"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0</w:t>
            </w:r>
          </w:p>
        </w:tc>
        <w:tc>
          <w:tcPr>
            <w:tcW w:w="923"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0</w:t>
            </w:r>
          </w:p>
        </w:tc>
      </w:tr>
      <w:tr>
        <w:tblPrEx>
          <w:tblCellMar>
            <w:top w:w="0" w:type="dxa"/>
            <w:left w:w="108" w:type="dxa"/>
            <w:bottom w:w="0" w:type="dxa"/>
            <w:right w:w="108" w:type="dxa"/>
          </w:tblCellMar>
        </w:tblPrEx>
        <w:trPr>
          <w:trHeight w:val="283"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0"/>
              </w:rPr>
            </w:pPr>
            <w:r>
              <w:rPr>
                <w:rFonts w:hint="eastAsia" w:ascii="宋体" w:hAnsi="宋体" w:cs="宋体"/>
                <w:kern w:val="0"/>
                <w:sz w:val="20"/>
              </w:rPr>
              <w:t>2017</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15</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140.1968</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255.1968</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153.1968</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85"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253.1968</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99.22%</w:t>
            </w:r>
          </w:p>
        </w:tc>
        <w:tc>
          <w:tcPr>
            <w:tcW w:w="87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220</w:t>
            </w:r>
          </w:p>
        </w:tc>
        <w:tc>
          <w:tcPr>
            <w:tcW w:w="92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 xml:space="preserve">4.20 </w:t>
            </w:r>
          </w:p>
        </w:tc>
      </w:tr>
      <w:tr>
        <w:tblPrEx>
          <w:tblCellMar>
            <w:top w:w="0" w:type="dxa"/>
            <w:left w:w="108" w:type="dxa"/>
            <w:bottom w:w="0" w:type="dxa"/>
            <w:right w:w="108" w:type="dxa"/>
          </w:tblCellMar>
        </w:tblPrEx>
        <w:trPr>
          <w:trHeight w:val="283"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0"/>
              </w:rPr>
            </w:pPr>
            <w:r>
              <w:rPr>
                <w:rFonts w:hint="eastAsia" w:ascii="宋体" w:hAnsi="宋体" w:cs="宋体"/>
                <w:kern w:val="0"/>
                <w:sz w:val="20"/>
              </w:rPr>
              <w:t>2018</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11</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2</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113</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11.9296</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99.9742</w:t>
            </w:r>
          </w:p>
        </w:tc>
        <w:tc>
          <w:tcPr>
            <w:tcW w:w="1085"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111.9038</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99.03%</w:t>
            </w:r>
          </w:p>
        </w:tc>
        <w:tc>
          <w:tcPr>
            <w:tcW w:w="87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330</w:t>
            </w:r>
          </w:p>
        </w:tc>
        <w:tc>
          <w:tcPr>
            <w:tcW w:w="92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355.99</w:t>
            </w:r>
          </w:p>
        </w:tc>
      </w:tr>
      <w:tr>
        <w:tblPrEx>
          <w:tblCellMar>
            <w:top w:w="0" w:type="dxa"/>
            <w:left w:w="108" w:type="dxa"/>
            <w:bottom w:w="0" w:type="dxa"/>
            <w:right w:w="108" w:type="dxa"/>
          </w:tblCellMar>
        </w:tblPrEx>
        <w:trPr>
          <w:trHeight w:val="283"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0"/>
              </w:rPr>
            </w:pPr>
            <w:r>
              <w:rPr>
                <w:rFonts w:hint="eastAsia" w:ascii="宋体" w:hAnsi="宋体" w:cs="宋体"/>
                <w:kern w:val="0"/>
                <w:sz w:val="20"/>
              </w:rPr>
              <w:t>2019</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1.0704</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111.0704</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11.0704</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90.4031</w:t>
            </w:r>
          </w:p>
        </w:tc>
        <w:tc>
          <w:tcPr>
            <w:tcW w:w="1085"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101.4735</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91.36%</w:t>
            </w:r>
          </w:p>
        </w:tc>
        <w:tc>
          <w:tcPr>
            <w:tcW w:w="87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420</w:t>
            </w:r>
          </w:p>
        </w:tc>
        <w:tc>
          <w:tcPr>
            <w:tcW w:w="92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230.04</w:t>
            </w:r>
          </w:p>
        </w:tc>
      </w:tr>
      <w:tr>
        <w:tblPrEx>
          <w:tblCellMar>
            <w:top w:w="0" w:type="dxa"/>
            <w:left w:w="108" w:type="dxa"/>
            <w:bottom w:w="0" w:type="dxa"/>
            <w:right w:w="108" w:type="dxa"/>
          </w:tblCellMar>
        </w:tblPrEx>
        <w:trPr>
          <w:trHeight w:val="283"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0"/>
              </w:rPr>
            </w:pPr>
            <w:r>
              <w:rPr>
                <w:rFonts w:hint="eastAsia" w:ascii="宋体" w:hAnsi="宋体" w:cs="宋体"/>
                <w:kern w:val="0"/>
                <w:sz w:val="20"/>
              </w:rPr>
              <w:t>2020</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kern w:val="0"/>
                <w:sz w:val="20"/>
              </w:rPr>
            </w:pPr>
            <w:r>
              <w:rPr>
                <w:rFonts w:hint="eastAsia" w:ascii="宋体" w:hAnsi="宋体" w:cs="宋体"/>
                <w:color w:val="000000"/>
                <w:kern w:val="0"/>
                <w:sz w:val="20"/>
                <w:lang w:bidi="ar"/>
              </w:rPr>
              <w:t>180</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0</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340</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164.8735</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96.5625</w:t>
            </w:r>
          </w:p>
        </w:tc>
        <w:tc>
          <w:tcPr>
            <w:tcW w:w="1085" w:type="dxa"/>
            <w:tcBorders>
              <w:top w:val="nil"/>
              <w:left w:val="nil"/>
              <w:bottom w:val="single" w:color="auto" w:sz="4" w:space="0"/>
              <w:right w:val="single" w:color="auto" w:sz="4" w:space="0"/>
            </w:tcBorders>
            <w:noWrap w:val="0"/>
            <w:vAlign w:val="center"/>
          </w:tcPr>
          <w:p>
            <w:pPr>
              <w:widowControl/>
              <w:jc w:val="center"/>
              <w:textAlignment w:val="center"/>
              <w:rPr>
                <w:rFonts w:hint="eastAsia" w:ascii="宋体" w:hAnsi="宋体" w:cs="宋体"/>
                <w:kern w:val="0"/>
                <w:sz w:val="20"/>
              </w:rPr>
            </w:pPr>
            <w:r>
              <w:rPr>
                <w:rFonts w:hint="eastAsia" w:ascii="宋体" w:hAnsi="宋体" w:cs="宋体"/>
                <w:color w:val="000000"/>
                <w:kern w:val="0"/>
                <w:sz w:val="20"/>
                <w:lang w:bidi="ar"/>
              </w:rPr>
              <w:t>261.436</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kern w:val="0"/>
                <w:sz w:val="20"/>
              </w:rPr>
            </w:pPr>
            <w:r>
              <w:rPr>
                <w:rFonts w:hint="eastAsia" w:ascii="宋体" w:hAnsi="宋体" w:cs="宋体"/>
                <w:color w:val="000000"/>
                <w:kern w:val="0"/>
                <w:sz w:val="20"/>
                <w:lang w:bidi="ar"/>
              </w:rPr>
              <w:t>93.37%</w:t>
            </w:r>
          </w:p>
        </w:tc>
        <w:tc>
          <w:tcPr>
            <w:tcW w:w="87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0</w:t>
            </w:r>
          </w:p>
        </w:tc>
        <w:tc>
          <w:tcPr>
            <w:tcW w:w="92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0</w:t>
            </w:r>
          </w:p>
        </w:tc>
      </w:tr>
      <w:tr>
        <w:tblPrEx>
          <w:tblCellMar>
            <w:top w:w="0" w:type="dxa"/>
            <w:left w:w="108" w:type="dxa"/>
            <w:bottom w:w="0" w:type="dxa"/>
            <w:right w:w="108" w:type="dxa"/>
          </w:tblCellMar>
        </w:tblPrEx>
        <w:trPr>
          <w:trHeight w:val="283" w:hRule="atLeast"/>
        </w:trPr>
        <w:tc>
          <w:tcPr>
            <w:tcW w:w="635"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bCs/>
                <w:kern w:val="0"/>
                <w:sz w:val="20"/>
              </w:rPr>
            </w:pPr>
            <w:r>
              <w:rPr>
                <w:rFonts w:hint="eastAsia" w:ascii="宋体" w:hAnsi="宋体" w:cs="宋体"/>
                <w:b/>
                <w:bCs/>
                <w:kern w:val="0"/>
                <w:sz w:val="20"/>
              </w:rPr>
              <w:t>合计</w:t>
            </w:r>
          </w:p>
        </w:tc>
        <w:tc>
          <w:tcPr>
            <w:tcW w:w="704"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b/>
                <w:bCs/>
                <w:color w:val="000000"/>
                <w:kern w:val="0"/>
                <w:sz w:val="20"/>
              </w:rPr>
            </w:pPr>
            <w:r>
              <w:rPr>
                <w:rFonts w:hint="eastAsia" w:ascii="宋体" w:hAnsi="宋体" w:cs="宋体"/>
                <w:b/>
                <w:bCs/>
                <w:color w:val="000000"/>
                <w:kern w:val="0"/>
                <w:sz w:val="20"/>
                <w:lang w:bidi="ar"/>
              </w:rPr>
              <w:t>376</w:t>
            </w:r>
          </w:p>
        </w:tc>
        <w:tc>
          <w:tcPr>
            <w:tcW w:w="646"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rPr>
            </w:pPr>
            <w:r>
              <w:rPr>
                <w:rFonts w:hint="eastAsia" w:ascii="宋体" w:hAnsi="宋体" w:cs="宋体"/>
                <w:b/>
                <w:bCs/>
                <w:color w:val="000000"/>
                <w:kern w:val="0"/>
                <w:sz w:val="20"/>
                <w:lang w:bidi="ar"/>
              </w:rPr>
              <w:t>500</w:t>
            </w:r>
          </w:p>
        </w:tc>
        <w:tc>
          <w:tcPr>
            <w:tcW w:w="1062"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rPr>
            </w:pPr>
            <w:r>
              <w:rPr>
                <w:rFonts w:hint="eastAsia" w:ascii="宋体" w:hAnsi="宋体" w:cs="宋体"/>
                <w:b/>
                <w:bCs/>
                <w:color w:val="000000"/>
                <w:kern w:val="0"/>
                <w:sz w:val="20"/>
                <w:lang w:bidi="ar"/>
              </w:rPr>
              <w:t>/</w:t>
            </w:r>
          </w:p>
        </w:tc>
        <w:tc>
          <w:tcPr>
            <w:tcW w:w="107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lang w:bidi="ar"/>
              </w:rPr>
            </w:pPr>
            <w:r>
              <w:rPr>
                <w:rFonts w:hint="eastAsia" w:ascii="宋体" w:hAnsi="宋体" w:cs="宋体"/>
                <w:b/>
                <w:bCs/>
                <w:color w:val="000000"/>
                <w:kern w:val="0"/>
                <w:sz w:val="20"/>
                <w:lang w:bidi="ar"/>
              </w:rPr>
              <w:t>/</w:t>
            </w:r>
          </w:p>
        </w:tc>
        <w:tc>
          <w:tcPr>
            <w:tcW w:w="1061"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rPr>
            </w:pPr>
            <w:r>
              <w:rPr>
                <w:rFonts w:hint="eastAsia" w:ascii="宋体" w:hAnsi="宋体" w:cs="宋体"/>
                <w:b/>
                <w:bCs/>
                <w:color w:val="000000"/>
                <w:kern w:val="0"/>
                <w:sz w:val="20"/>
                <w:lang w:bidi="ar"/>
              </w:rPr>
              <w:t>493.6702</w:t>
            </w:r>
          </w:p>
        </w:tc>
        <w:tc>
          <w:tcPr>
            <w:tcW w:w="102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rPr>
            </w:pPr>
            <w:r>
              <w:rPr>
                <w:rFonts w:hint="eastAsia" w:ascii="宋体" w:hAnsi="宋体" w:cs="宋体"/>
                <w:b/>
                <w:bCs/>
                <w:color w:val="000000"/>
                <w:kern w:val="0"/>
                <w:sz w:val="20"/>
                <w:lang w:bidi="ar"/>
              </w:rPr>
              <w:t>486.9398</w:t>
            </w:r>
          </w:p>
        </w:tc>
        <w:tc>
          <w:tcPr>
            <w:tcW w:w="1085"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rPr>
            </w:pPr>
            <w:r>
              <w:rPr>
                <w:rFonts w:hint="eastAsia" w:ascii="宋体" w:hAnsi="宋体" w:cs="宋体"/>
                <w:b/>
                <w:bCs/>
                <w:color w:val="000000"/>
                <w:kern w:val="0"/>
                <w:sz w:val="20"/>
                <w:lang w:bidi="ar"/>
              </w:rPr>
              <w:t>980.61</w:t>
            </w:r>
          </w:p>
        </w:tc>
        <w:tc>
          <w:tcPr>
            <w:tcW w:w="900"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kern w:val="0"/>
                <w:sz w:val="20"/>
              </w:rPr>
            </w:pPr>
            <w:r>
              <w:rPr>
                <w:rFonts w:hint="eastAsia" w:ascii="宋体" w:hAnsi="宋体" w:cs="宋体"/>
                <w:b/>
                <w:bCs/>
                <w:color w:val="000000"/>
                <w:kern w:val="0"/>
                <w:sz w:val="20"/>
                <w:lang w:bidi="ar"/>
              </w:rPr>
              <w:t>/</w:t>
            </w:r>
          </w:p>
        </w:tc>
        <w:tc>
          <w:tcPr>
            <w:tcW w:w="877"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lang w:bidi="ar"/>
              </w:rPr>
            </w:pPr>
            <w:r>
              <w:rPr>
                <w:rFonts w:hint="eastAsia" w:ascii="宋体" w:hAnsi="宋体" w:cs="宋体"/>
                <w:b/>
                <w:bCs/>
                <w:color w:val="000000"/>
                <w:kern w:val="0"/>
                <w:sz w:val="20"/>
                <w:lang w:bidi="ar"/>
              </w:rPr>
              <w:t>970</w:t>
            </w:r>
          </w:p>
        </w:tc>
        <w:tc>
          <w:tcPr>
            <w:tcW w:w="923" w:type="dxa"/>
            <w:tcBorders>
              <w:top w:val="nil"/>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20"/>
                <w:lang w:bidi="ar"/>
              </w:rPr>
            </w:pPr>
            <w:r>
              <w:rPr>
                <w:rFonts w:hint="eastAsia" w:ascii="宋体" w:hAnsi="宋体" w:cs="宋体"/>
                <w:b/>
                <w:bCs/>
                <w:color w:val="000000"/>
                <w:kern w:val="0"/>
                <w:sz w:val="20"/>
                <w:lang w:bidi="ar"/>
              </w:rPr>
              <w:t>590.23</w:t>
            </w:r>
          </w:p>
        </w:tc>
      </w:tr>
    </w:tbl>
    <w:p>
      <w:pPr>
        <w:snapToGrid w:val="0"/>
        <w:spacing w:line="500" w:lineRule="atLeast"/>
        <w:ind w:firstLine="643" w:firstLineChars="200"/>
        <w:outlineLvl w:val="1"/>
        <w:rPr>
          <w:rFonts w:eastAsia="楷体_GB2312"/>
          <w:b/>
          <w:bCs w:val="0"/>
          <w:sz w:val="32"/>
          <w:szCs w:val="32"/>
        </w:rPr>
      </w:pPr>
      <w:bookmarkStart w:id="6" w:name="_Toc72500202"/>
      <w:bookmarkStart w:id="7" w:name="_Toc74824856"/>
      <w:r>
        <w:rPr>
          <w:rFonts w:hint="eastAsia" w:eastAsia="楷体_GB2312"/>
          <w:b/>
          <w:bCs w:val="0"/>
          <w:sz w:val="32"/>
          <w:szCs w:val="32"/>
        </w:rPr>
        <w:t>（五）</w:t>
      </w:r>
      <w:r>
        <w:rPr>
          <w:rFonts w:eastAsia="楷体_GB2312"/>
          <w:b/>
          <w:bCs w:val="0"/>
          <w:sz w:val="32"/>
          <w:szCs w:val="32"/>
        </w:rPr>
        <w:t>项目完成情况</w:t>
      </w:r>
      <w:bookmarkEnd w:id="6"/>
      <w:bookmarkEnd w:id="7"/>
    </w:p>
    <w:p>
      <w:pPr>
        <w:snapToGrid w:val="0"/>
        <w:spacing w:line="500" w:lineRule="atLeas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1.培训任务完成情况。</w:t>
      </w:r>
      <w:r>
        <w:rPr>
          <w:rFonts w:hint="eastAsia" w:ascii="仿宋_GB2312" w:hAnsi="Times New Roman" w:eastAsia="仿宋_GB2312" w:cs="Times New Roman"/>
          <w:sz w:val="32"/>
          <w:szCs w:val="32"/>
        </w:rPr>
        <w:t>本次评价主要为农村实用人才培训范围中省级资金下达市级的培训任务数、丽水市级资金覆盖的培训任务数。2016年</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2020年，省级下达市级培训任务数、市级培训任务数共计9060人，市级实际培训人数12241人，完成培训任务数135.11%。省级下达市级培训任务数、市级培训任务数与市级实际参训人数情况详见表2。</w:t>
      </w:r>
    </w:p>
    <w:p>
      <w:pPr>
        <w:pStyle w:val="2"/>
        <w:ind w:left="0"/>
        <w:jc w:val="center"/>
        <w:rPr>
          <w:rFonts w:ascii="Times New Roman" w:hAnsi="Times New Roman" w:eastAsia="黑体"/>
          <w:sz w:val="28"/>
          <w:szCs w:val="28"/>
        </w:rPr>
      </w:pPr>
      <w:r>
        <w:rPr>
          <w:rFonts w:ascii="Times New Roman" w:hAnsi="Times New Roman" w:eastAsia="黑体"/>
          <w:sz w:val="28"/>
          <w:szCs w:val="28"/>
        </w:rPr>
        <w:t>表</w:t>
      </w:r>
      <w:r>
        <w:rPr>
          <w:rFonts w:hint="eastAsia" w:ascii="Times New Roman" w:hAnsi="Times New Roman" w:eastAsia="黑体"/>
          <w:sz w:val="28"/>
          <w:szCs w:val="28"/>
        </w:rPr>
        <w:t>2</w:t>
      </w:r>
      <w:r>
        <w:rPr>
          <w:rFonts w:ascii="Times New Roman" w:hAnsi="Times New Roman" w:eastAsia="黑体"/>
          <w:sz w:val="28"/>
          <w:szCs w:val="28"/>
        </w:rPr>
        <w:t>：2016-2020年度</w:t>
      </w:r>
      <w:r>
        <w:rPr>
          <w:rFonts w:hint="eastAsia" w:ascii="Times New Roman" w:hAnsi="Times New Roman" w:eastAsia="黑体"/>
          <w:sz w:val="28"/>
          <w:szCs w:val="28"/>
        </w:rPr>
        <w:t>培训</w:t>
      </w:r>
      <w:r>
        <w:rPr>
          <w:rFonts w:ascii="Times New Roman" w:hAnsi="Times New Roman" w:eastAsia="黑体"/>
          <w:sz w:val="28"/>
          <w:szCs w:val="28"/>
        </w:rPr>
        <w:t>任务数与实际</w:t>
      </w:r>
      <w:r>
        <w:rPr>
          <w:rFonts w:hint="eastAsia" w:ascii="Times New Roman" w:hAnsi="Times New Roman" w:eastAsia="黑体"/>
          <w:sz w:val="28"/>
          <w:szCs w:val="28"/>
        </w:rPr>
        <w:t>参</w:t>
      </w:r>
      <w:r>
        <w:rPr>
          <w:rFonts w:ascii="Times New Roman" w:hAnsi="Times New Roman" w:eastAsia="黑体"/>
          <w:sz w:val="28"/>
          <w:szCs w:val="28"/>
        </w:rPr>
        <w:t>训情况</w:t>
      </w:r>
      <w:r>
        <w:rPr>
          <w:rFonts w:hint="eastAsia" w:ascii="Times New Roman" w:hAnsi="Times New Roman" w:eastAsia="黑体"/>
          <w:sz w:val="28"/>
          <w:szCs w:val="28"/>
        </w:rPr>
        <w:t>汇总</w:t>
      </w:r>
      <w:r>
        <w:rPr>
          <w:rFonts w:ascii="Times New Roman" w:hAnsi="Times New Roman" w:eastAsia="黑体"/>
          <w:sz w:val="28"/>
          <w:szCs w:val="28"/>
        </w:rPr>
        <w:t>表</w:t>
      </w:r>
    </w:p>
    <w:p>
      <w:pPr>
        <w:pStyle w:val="2"/>
        <w:ind w:left="0"/>
        <w:jc w:val="right"/>
        <w:rPr>
          <w:rFonts w:hint="eastAsia" w:ascii="Times New Roman" w:hAnsi="Times New Roman"/>
          <w:sz w:val="24"/>
          <w:szCs w:val="24"/>
        </w:rPr>
      </w:pPr>
      <w:r>
        <w:rPr>
          <w:rFonts w:ascii="Times New Roman" w:hAnsi="Times New Roman"/>
          <w:sz w:val="24"/>
          <w:szCs w:val="24"/>
        </w:rPr>
        <w:t>单位：</w:t>
      </w:r>
      <w:r>
        <w:rPr>
          <w:rFonts w:hint="eastAsia" w:ascii="Times New Roman" w:hAnsi="Times New Roman"/>
          <w:sz w:val="24"/>
          <w:szCs w:val="24"/>
        </w:rPr>
        <w:t>人</w:t>
      </w:r>
    </w:p>
    <w:tbl>
      <w:tblPr>
        <w:tblStyle w:val="6"/>
        <w:tblW w:w="4954" w:type="pct"/>
        <w:jc w:val="center"/>
        <w:tblLayout w:type="autofit"/>
        <w:tblCellMar>
          <w:top w:w="0" w:type="dxa"/>
          <w:left w:w="108" w:type="dxa"/>
          <w:bottom w:w="0" w:type="dxa"/>
          <w:right w:w="108" w:type="dxa"/>
        </w:tblCellMar>
      </w:tblPr>
      <w:tblGrid>
        <w:gridCol w:w="1117"/>
        <w:gridCol w:w="1821"/>
        <w:gridCol w:w="845"/>
        <w:gridCol w:w="1190"/>
        <w:gridCol w:w="1753"/>
        <w:gridCol w:w="1718"/>
      </w:tblGrid>
      <w:tr>
        <w:tblPrEx>
          <w:tblCellMar>
            <w:top w:w="0" w:type="dxa"/>
            <w:left w:w="108" w:type="dxa"/>
            <w:bottom w:w="0" w:type="dxa"/>
            <w:right w:w="108" w:type="dxa"/>
          </w:tblCellMar>
        </w:tblPrEx>
        <w:trPr>
          <w:trHeight w:val="393" w:hRule="atLeast"/>
          <w:jc w:val="center"/>
        </w:trPr>
        <w:tc>
          <w:tcPr>
            <w:tcW w:w="670" w:type="pct"/>
            <w:vMerge w:val="restart"/>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widowControl/>
              <w:jc w:val="center"/>
              <w:textAlignment w:val="center"/>
              <w:rPr>
                <w:b/>
                <w:bCs/>
                <w:color w:val="000000"/>
                <w:sz w:val="22"/>
                <w:szCs w:val="22"/>
              </w:rPr>
            </w:pPr>
            <w:r>
              <w:rPr>
                <w:b/>
                <w:bCs/>
                <w:color w:val="000000"/>
                <w:sz w:val="22"/>
                <w:szCs w:val="22"/>
              </w:rPr>
              <w:t>年度</w:t>
            </w:r>
          </w:p>
        </w:tc>
        <w:tc>
          <w:tcPr>
            <w:tcW w:w="1034" w:type="pct"/>
            <w:vMerge w:val="restart"/>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hint="eastAsia"/>
                <w:b/>
                <w:bCs/>
                <w:color w:val="000000"/>
                <w:sz w:val="22"/>
                <w:szCs w:val="22"/>
              </w:rPr>
            </w:pPr>
            <w:r>
              <w:rPr>
                <w:rFonts w:hint="eastAsia"/>
                <w:b/>
                <w:bCs/>
                <w:color w:val="000000"/>
                <w:kern w:val="0"/>
                <w:sz w:val="22"/>
                <w:szCs w:val="22"/>
                <w:lang w:bidi="ar"/>
              </w:rPr>
              <w:t>省级</w:t>
            </w:r>
            <w:r>
              <w:rPr>
                <w:b/>
                <w:bCs/>
                <w:color w:val="000000"/>
                <w:kern w:val="0"/>
                <w:sz w:val="22"/>
                <w:szCs w:val="22"/>
                <w:lang w:bidi="ar"/>
              </w:rPr>
              <w:t>任务数</w:t>
            </w:r>
            <w:r>
              <w:rPr>
                <w:rStyle w:val="8"/>
                <w:b/>
                <w:bCs/>
                <w:color w:val="000000"/>
                <w:kern w:val="0"/>
                <w:sz w:val="22"/>
                <w:szCs w:val="22"/>
                <w:lang w:bidi="ar"/>
              </w:rPr>
              <w:footnoteReference w:id="3"/>
            </w:r>
          </w:p>
        </w:tc>
        <w:tc>
          <w:tcPr>
            <w:tcW w:w="509" w:type="pct"/>
            <w:vMerge w:val="restart"/>
            <w:tcBorders>
              <w:top w:val="single" w:color="000000" w:sz="4" w:space="0"/>
              <w:left w:val="single" w:color="000000" w:sz="4" w:space="0"/>
              <w:right w:val="single" w:color="000000" w:sz="4" w:space="0"/>
            </w:tcBorders>
            <w:shd w:val="clear" w:color="auto" w:fill="BFBFBF"/>
            <w:noWrap w:val="0"/>
            <w:vAlign w:val="center"/>
          </w:tcPr>
          <w:p>
            <w:pPr>
              <w:widowControl/>
              <w:jc w:val="center"/>
              <w:textAlignment w:val="center"/>
              <w:rPr>
                <w:b/>
                <w:bCs/>
                <w:color w:val="000000"/>
                <w:kern w:val="0"/>
                <w:sz w:val="22"/>
                <w:szCs w:val="22"/>
                <w:lang w:bidi="ar"/>
              </w:rPr>
            </w:pPr>
            <w:r>
              <w:rPr>
                <w:rFonts w:hint="eastAsia"/>
                <w:b/>
                <w:bCs/>
                <w:color w:val="000000"/>
                <w:kern w:val="0"/>
                <w:sz w:val="22"/>
                <w:szCs w:val="22"/>
                <w:lang w:bidi="ar"/>
              </w:rPr>
              <w:t>市级任务数</w:t>
            </w:r>
          </w:p>
        </w:tc>
        <w:tc>
          <w:tcPr>
            <w:tcW w:w="1759" w:type="pct"/>
            <w:gridSpan w:val="2"/>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hint="eastAsia"/>
                <w:b/>
                <w:bCs/>
                <w:color w:val="000000"/>
                <w:kern w:val="0"/>
                <w:sz w:val="22"/>
                <w:szCs w:val="22"/>
                <w:lang w:bidi="ar"/>
              </w:rPr>
            </w:pPr>
            <w:r>
              <w:rPr>
                <w:b/>
                <w:bCs/>
                <w:color w:val="000000"/>
                <w:kern w:val="0"/>
                <w:sz w:val="22"/>
                <w:szCs w:val="22"/>
                <w:lang w:bidi="ar"/>
              </w:rPr>
              <w:t>实际培训人数</w:t>
            </w:r>
          </w:p>
        </w:tc>
        <w:tc>
          <w:tcPr>
            <w:tcW w:w="1025" w:type="pct"/>
            <w:vMerge w:val="restart"/>
            <w:tcBorders>
              <w:top w:val="single" w:color="000000" w:sz="4" w:space="0"/>
              <w:left w:val="single" w:color="000000" w:sz="4" w:space="0"/>
              <w:right w:val="single" w:color="000000" w:sz="4" w:space="0"/>
            </w:tcBorders>
            <w:shd w:val="clear" w:color="auto" w:fill="BFBFBF"/>
            <w:noWrap/>
            <w:vAlign w:val="center"/>
          </w:tcPr>
          <w:p>
            <w:pPr>
              <w:widowControl/>
              <w:jc w:val="center"/>
              <w:rPr>
                <w:rFonts w:hint="eastAsia" w:cs="Calibri"/>
                <w:color w:val="000000"/>
                <w:kern w:val="0"/>
                <w:sz w:val="22"/>
                <w:szCs w:val="22"/>
              </w:rPr>
            </w:pPr>
            <w:r>
              <w:rPr>
                <w:rFonts w:hint="eastAsia" w:ascii="宋体" w:hAnsi="宋体" w:cs="宋体"/>
                <w:b/>
                <w:bCs/>
                <w:color w:val="000000"/>
                <w:kern w:val="0"/>
                <w:sz w:val="22"/>
                <w:szCs w:val="22"/>
              </w:rPr>
              <w:t>任务完成度</w:t>
            </w:r>
          </w:p>
        </w:tc>
      </w:tr>
      <w:tr>
        <w:tblPrEx>
          <w:tblCellMar>
            <w:top w:w="0" w:type="dxa"/>
            <w:left w:w="108" w:type="dxa"/>
            <w:bottom w:w="0" w:type="dxa"/>
            <w:right w:w="108" w:type="dxa"/>
          </w:tblCellMar>
        </w:tblPrEx>
        <w:trPr>
          <w:trHeight w:val="269" w:hRule="atLeast"/>
          <w:jc w:val="center"/>
        </w:trPr>
        <w:tc>
          <w:tcPr>
            <w:tcW w:w="670" w:type="pct"/>
            <w:vMerge w:val="continue"/>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jc w:val="center"/>
              <w:rPr>
                <w:b/>
                <w:bCs/>
                <w:color w:val="000000"/>
                <w:sz w:val="22"/>
                <w:szCs w:val="22"/>
              </w:rPr>
            </w:pPr>
          </w:p>
        </w:tc>
        <w:tc>
          <w:tcPr>
            <w:tcW w:w="1034" w:type="pct"/>
            <w:vMerge w:val="continue"/>
            <w:tcBorders>
              <w:top w:val="single" w:color="000000" w:sz="4" w:space="0"/>
              <w:left w:val="single" w:color="000000" w:sz="4" w:space="0"/>
              <w:bottom w:val="single" w:color="000000" w:sz="4" w:space="0"/>
              <w:right w:val="single" w:color="000000" w:sz="4" w:space="0"/>
            </w:tcBorders>
            <w:shd w:val="clear" w:color="auto" w:fill="BFBFBF"/>
            <w:noWrap/>
            <w:vAlign w:val="center"/>
          </w:tcPr>
          <w:p>
            <w:pPr>
              <w:jc w:val="center"/>
              <w:rPr>
                <w:b/>
                <w:bCs/>
                <w:color w:val="000000"/>
                <w:sz w:val="22"/>
                <w:szCs w:val="22"/>
              </w:rPr>
            </w:pPr>
          </w:p>
        </w:tc>
        <w:tc>
          <w:tcPr>
            <w:tcW w:w="509" w:type="pct"/>
            <w:vMerge w:val="continue"/>
            <w:tcBorders>
              <w:left w:val="single" w:color="000000" w:sz="4" w:space="0"/>
              <w:bottom w:val="single" w:color="000000" w:sz="4" w:space="0"/>
              <w:right w:val="single" w:color="000000" w:sz="4" w:space="0"/>
            </w:tcBorders>
            <w:shd w:val="clear" w:color="auto" w:fill="BFBFBF"/>
            <w:noWrap w:val="0"/>
            <w:vAlign w:val="top"/>
          </w:tcPr>
          <w:p>
            <w:pPr>
              <w:widowControl/>
              <w:jc w:val="center"/>
              <w:textAlignment w:val="center"/>
              <w:rPr>
                <w:b/>
                <w:bCs/>
                <w:color w:val="000000"/>
                <w:kern w:val="0"/>
                <w:sz w:val="22"/>
                <w:szCs w:val="22"/>
                <w:lang w:bidi="ar"/>
              </w:rPr>
            </w:pPr>
          </w:p>
        </w:tc>
        <w:tc>
          <w:tcPr>
            <w:tcW w:w="713"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b/>
                <w:bCs/>
                <w:color w:val="000000"/>
                <w:sz w:val="22"/>
                <w:szCs w:val="22"/>
              </w:rPr>
            </w:pPr>
            <w:r>
              <w:rPr>
                <w:b/>
                <w:bCs/>
                <w:color w:val="000000"/>
                <w:kern w:val="0"/>
                <w:sz w:val="22"/>
                <w:szCs w:val="22"/>
                <w:lang w:bidi="ar"/>
              </w:rPr>
              <w:t>总人数</w:t>
            </w:r>
          </w:p>
        </w:tc>
        <w:tc>
          <w:tcPr>
            <w:tcW w:w="1046" w:type="pct"/>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b/>
                <w:bCs/>
                <w:sz w:val="22"/>
                <w:szCs w:val="22"/>
              </w:rPr>
            </w:pPr>
            <w:r>
              <w:rPr>
                <w:rFonts w:hint="eastAsia"/>
                <w:b/>
                <w:bCs/>
                <w:color w:val="000000"/>
                <w:kern w:val="0"/>
                <w:sz w:val="22"/>
                <w:szCs w:val="22"/>
                <w:lang w:bidi="ar"/>
              </w:rPr>
              <w:t>其中：</w:t>
            </w:r>
            <w:r>
              <w:rPr>
                <w:b/>
                <w:bCs/>
                <w:color w:val="000000"/>
                <w:kern w:val="0"/>
                <w:sz w:val="22"/>
                <w:szCs w:val="22"/>
                <w:lang w:bidi="ar"/>
              </w:rPr>
              <w:t>农民数</w:t>
            </w:r>
          </w:p>
        </w:tc>
        <w:tc>
          <w:tcPr>
            <w:tcW w:w="1025" w:type="pct"/>
            <w:vMerge w:val="continue"/>
            <w:tcBorders>
              <w:left w:val="single" w:color="000000" w:sz="4" w:space="0"/>
              <w:bottom w:val="single" w:color="000000" w:sz="4" w:space="0"/>
              <w:right w:val="single" w:color="000000" w:sz="4" w:space="0"/>
            </w:tcBorders>
            <w:shd w:val="clear" w:color="auto" w:fill="BFBFBF"/>
            <w:noWrap/>
            <w:vAlign w:val="center"/>
          </w:tcPr>
          <w:p>
            <w:pPr>
              <w:widowControl/>
              <w:jc w:val="center"/>
              <w:rPr>
                <w:rFonts w:hint="eastAsia" w:cs="Calibri"/>
                <w:color w:val="000000"/>
                <w:kern w:val="0"/>
                <w:sz w:val="22"/>
                <w:szCs w:val="22"/>
              </w:rPr>
            </w:pP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2016年</w:t>
            </w:r>
          </w:p>
        </w:tc>
        <w:tc>
          <w:tcPr>
            <w:tcW w:w="1034"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750（境外20）</w:t>
            </w:r>
          </w:p>
        </w:tc>
        <w:tc>
          <w:tcPr>
            <w:tcW w:w="509"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color w:val="000000"/>
                <w:kern w:val="0"/>
                <w:sz w:val="22"/>
                <w:szCs w:val="22"/>
                <w:lang w:bidi="ar"/>
              </w:rPr>
            </w:pPr>
            <w:r>
              <w:rPr>
                <w:rFonts w:hint="eastAsia"/>
                <w:color w:val="000000"/>
                <w:kern w:val="0"/>
                <w:sz w:val="22"/>
                <w:szCs w:val="22"/>
                <w:lang w:bidi="ar"/>
              </w:rPr>
              <w:t>5</w:t>
            </w:r>
            <w:r>
              <w:rPr>
                <w:color w:val="000000"/>
                <w:kern w:val="0"/>
                <w:sz w:val="22"/>
                <w:szCs w:val="22"/>
                <w:lang w:bidi="ar"/>
              </w:rPr>
              <w:t>00</w:t>
            </w:r>
          </w:p>
        </w:tc>
        <w:tc>
          <w:tcPr>
            <w:tcW w:w="713"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color w:val="000000"/>
                <w:kern w:val="0"/>
                <w:sz w:val="22"/>
                <w:szCs w:val="22"/>
                <w:lang w:bidi="ar"/>
              </w:rPr>
              <w:t>2598</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2"/>
                <w:szCs w:val="22"/>
              </w:rPr>
            </w:pPr>
            <w:r>
              <w:rPr>
                <w:color w:val="000000"/>
                <w:kern w:val="0"/>
                <w:sz w:val="22"/>
                <w:szCs w:val="22"/>
                <w:lang w:bidi="ar"/>
              </w:rPr>
              <w:t>2201</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cs="Calibri"/>
                <w:color w:val="000000"/>
                <w:kern w:val="0"/>
                <w:sz w:val="22"/>
                <w:szCs w:val="22"/>
              </w:rPr>
            </w:pPr>
            <w:r>
              <w:rPr>
                <w:rFonts w:cs="Calibri"/>
                <w:color w:val="000000"/>
                <w:kern w:val="0"/>
                <w:sz w:val="22"/>
                <w:szCs w:val="22"/>
              </w:rPr>
              <w:t>207.84%</w:t>
            </w: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2017年</w:t>
            </w:r>
          </w:p>
        </w:tc>
        <w:tc>
          <w:tcPr>
            <w:tcW w:w="1034" w:type="pct"/>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1100（境外14）</w:t>
            </w:r>
          </w:p>
        </w:tc>
        <w:tc>
          <w:tcPr>
            <w:tcW w:w="509" w:type="pct"/>
            <w:tcBorders>
              <w:top w:val="single" w:color="000000" w:sz="4" w:space="0"/>
              <w:left w:val="single" w:color="000000" w:sz="4" w:space="0"/>
              <w:bottom w:val="single" w:color="auto" w:sz="4" w:space="0"/>
              <w:right w:val="single" w:color="000000" w:sz="4" w:space="0"/>
            </w:tcBorders>
            <w:noWrap w:val="0"/>
            <w:vAlign w:val="top"/>
          </w:tcPr>
          <w:p>
            <w:pPr>
              <w:widowControl/>
              <w:jc w:val="center"/>
              <w:textAlignment w:val="center"/>
              <w:rPr>
                <w:color w:val="000000"/>
                <w:kern w:val="0"/>
                <w:sz w:val="22"/>
                <w:szCs w:val="22"/>
                <w:lang w:bidi="ar"/>
              </w:rPr>
            </w:pPr>
            <w:r>
              <w:rPr>
                <w:rFonts w:hint="eastAsia"/>
                <w:color w:val="000000"/>
                <w:kern w:val="0"/>
                <w:sz w:val="22"/>
                <w:szCs w:val="22"/>
                <w:lang w:bidi="ar"/>
              </w:rPr>
              <w:t>5</w:t>
            </w:r>
            <w:r>
              <w:rPr>
                <w:color w:val="000000"/>
                <w:kern w:val="0"/>
                <w:sz w:val="22"/>
                <w:szCs w:val="22"/>
                <w:lang w:bidi="ar"/>
              </w:rPr>
              <w:t>00</w:t>
            </w:r>
          </w:p>
        </w:tc>
        <w:tc>
          <w:tcPr>
            <w:tcW w:w="713"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color w:val="000000"/>
                <w:kern w:val="0"/>
                <w:sz w:val="22"/>
                <w:szCs w:val="22"/>
                <w:lang w:bidi="ar"/>
              </w:rPr>
              <w:t>1986</w:t>
            </w:r>
          </w:p>
        </w:tc>
        <w:tc>
          <w:tcPr>
            <w:tcW w:w="1046" w:type="pct"/>
            <w:tcBorders>
              <w:top w:val="single" w:color="000000" w:sz="4" w:space="0"/>
              <w:left w:val="single" w:color="000000" w:sz="4" w:space="0"/>
              <w:bottom w:val="single" w:color="000000" w:sz="4" w:space="0"/>
              <w:right w:val="single" w:color="000000" w:sz="4" w:space="0"/>
            </w:tcBorders>
            <w:noWrap/>
            <w:vAlign w:val="bottom"/>
          </w:tcPr>
          <w:p>
            <w:pPr>
              <w:jc w:val="center"/>
              <w:rPr>
                <w:sz w:val="22"/>
                <w:szCs w:val="22"/>
              </w:rPr>
            </w:pPr>
            <w:r>
              <w:rPr>
                <w:sz w:val="22"/>
                <w:szCs w:val="22"/>
              </w:rPr>
              <w:t>数据未明确</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cs="Calibri"/>
                <w:color w:val="000000"/>
                <w:kern w:val="0"/>
                <w:sz w:val="22"/>
                <w:szCs w:val="22"/>
              </w:rPr>
            </w:pPr>
            <w:r>
              <w:rPr>
                <w:rFonts w:cs="Calibri"/>
                <w:color w:val="000000"/>
                <w:kern w:val="0"/>
                <w:sz w:val="22"/>
                <w:szCs w:val="22"/>
              </w:rPr>
              <w:t>124.13%</w:t>
            </w: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auto" w:sz="4" w:space="0"/>
            </w:tcBorders>
            <w:noWrap/>
            <w:vAlign w:val="center"/>
          </w:tcPr>
          <w:p>
            <w:pPr>
              <w:widowControl/>
              <w:jc w:val="center"/>
              <w:textAlignment w:val="center"/>
              <w:rPr>
                <w:color w:val="000000"/>
                <w:sz w:val="22"/>
                <w:szCs w:val="22"/>
              </w:rPr>
            </w:pPr>
            <w:r>
              <w:rPr>
                <w:color w:val="000000"/>
                <w:kern w:val="0"/>
                <w:sz w:val="22"/>
                <w:szCs w:val="22"/>
                <w:lang w:bidi="ar"/>
              </w:rPr>
              <w:t>2018年</w:t>
            </w:r>
          </w:p>
        </w:tc>
        <w:tc>
          <w:tcPr>
            <w:tcW w:w="1034" w:type="pct"/>
            <w:tcBorders>
              <w:top w:val="single" w:color="auto" w:sz="4" w:space="0"/>
              <w:left w:val="single" w:color="auto" w:sz="4" w:space="0"/>
              <w:bottom w:val="single" w:color="auto" w:sz="4" w:space="0"/>
              <w:right w:val="single" w:color="auto" w:sz="4" w:space="0"/>
            </w:tcBorders>
            <w:noWrap/>
            <w:vAlign w:val="center"/>
          </w:tcPr>
          <w:p>
            <w:pPr>
              <w:jc w:val="center"/>
              <w:rPr>
                <w:color w:val="000000"/>
                <w:sz w:val="22"/>
                <w:szCs w:val="22"/>
              </w:rPr>
            </w:pPr>
            <w:r>
              <w:rPr>
                <w:color w:val="000000"/>
                <w:kern w:val="0"/>
                <w:sz w:val="22"/>
                <w:szCs w:val="22"/>
                <w:lang w:bidi="ar"/>
              </w:rPr>
              <w:t>1610（境外8）</w:t>
            </w: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color w:val="000000"/>
                <w:kern w:val="0"/>
                <w:sz w:val="22"/>
                <w:szCs w:val="22"/>
                <w:lang w:bidi="ar"/>
              </w:rPr>
            </w:pPr>
            <w:r>
              <w:rPr>
                <w:rFonts w:hint="eastAsia"/>
                <w:color w:val="000000"/>
                <w:kern w:val="0"/>
                <w:sz w:val="22"/>
                <w:szCs w:val="22"/>
                <w:lang w:bidi="ar"/>
              </w:rPr>
              <w:t>5</w:t>
            </w:r>
            <w:r>
              <w:rPr>
                <w:color w:val="000000"/>
                <w:kern w:val="0"/>
                <w:sz w:val="22"/>
                <w:szCs w:val="22"/>
                <w:lang w:bidi="ar"/>
              </w:rPr>
              <w:t>00</w:t>
            </w:r>
          </w:p>
        </w:tc>
        <w:tc>
          <w:tcPr>
            <w:tcW w:w="713" w:type="pct"/>
            <w:tcBorders>
              <w:top w:val="single" w:color="000000" w:sz="4" w:space="0"/>
              <w:left w:val="single" w:color="auto" w:sz="4" w:space="0"/>
              <w:bottom w:val="single" w:color="000000" w:sz="4" w:space="0"/>
              <w:right w:val="single" w:color="000000" w:sz="4" w:space="0"/>
            </w:tcBorders>
            <w:noWrap/>
            <w:vAlign w:val="center"/>
          </w:tcPr>
          <w:p>
            <w:pPr>
              <w:widowControl/>
              <w:jc w:val="center"/>
              <w:textAlignment w:val="center"/>
              <w:rPr>
                <w:color w:val="000000"/>
                <w:sz w:val="22"/>
                <w:szCs w:val="22"/>
              </w:rPr>
            </w:pPr>
            <w:r>
              <w:rPr>
                <w:rFonts w:hint="eastAsia"/>
                <w:color w:val="000000"/>
                <w:kern w:val="0"/>
                <w:sz w:val="22"/>
                <w:szCs w:val="22"/>
                <w:lang w:bidi="ar"/>
              </w:rPr>
              <w:t>3430</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2"/>
                <w:szCs w:val="22"/>
              </w:rPr>
            </w:pPr>
            <w:r>
              <w:rPr>
                <w:rFonts w:hint="eastAsia"/>
                <w:color w:val="000000"/>
                <w:kern w:val="0"/>
                <w:sz w:val="22"/>
                <w:szCs w:val="22"/>
                <w:lang w:bidi="ar"/>
              </w:rPr>
              <w:t>3133</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cs="Calibri"/>
                <w:color w:val="000000"/>
                <w:kern w:val="0"/>
                <w:sz w:val="22"/>
                <w:szCs w:val="22"/>
              </w:rPr>
            </w:pPr>
            <w:r>
              <w:rPr>
                <w:rFonts w:hint="eastAsia" w:cs="Calibri"/>
                <w:color w:val="000000"/>
                <w:kern w:val="0"/>
                <w:sz w:val="22"/>
                <w:szCs w:val="22"/>
              </w:rPr>
              <w:t>162.56%</w:t>
            </w: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2019年</w:t>
            </w:r>
          </w:p>
        </w:tc>
        <w:tc>
          <w:tcPr>
            <w:tcW w:w="1034" w:type="pct"/>
            <w:tcBorders>
              <w:top w:val="single" w:color="auto" w:sz="4" w:space="0"/>
              <w:left w:val="single" w:color="000000" w:sz="4" w:space="0"/>
              <w:bottom w:val="single" w:color="000000" w:sz="4" w:space="0"/>
              <w:right w:val="single" w:color="000000" w:sz="4" w:space="0"/>
            </w:tcBorders>
            <w:noWrap/>
            <w:vAlign w:val="center"/>
          </w:tcPr>
          <w:p>
            <w:pPr>
              <w:jc w:val="center"/>
              <w:rPr>
                <w:color w:val="000000"/>
                <w:sz w:val="22"/>
                <w:szCs w:val="22"/>
              </w:rPr>
            </w:pPr>
            <w:r>
              <w:rPr>
                <w:rFonts w:hint="eastAsia"/>
                <w:color w:val="000000"/>
                <w:sz w:val="22"/>
                <w:szCs w:val="22"/>
              </w:rPr>
              <w:t>2</w:t>
            </w:r>
            <w:r>
              <w:rPr>
                <w:color w:val="000000"/>
                <w:sz w:val="22"/>
                <w:szCs w:val="22"/>
              </w:rPr>
              <w:t>100</w:t>
            </w:r>
          </w:p>
        </w:tc>
        <w:tc>
          <w:tcPr>
            <w:tcW w:w="509" w:type="pct"/>
            <w:tcBorders>
              <w:top w:val="single" w:color="auto" w:sz="4" w:space="0"/>
              <w:left w:val="single" w:color="000000" w:sz="4" w:space="0"/>
              <w:bottom w:val="single" w:color="000000" w:sz="4" w:space="0"/>
              <w:right w:val="single" w:color="000000" w:sz="4" w:space="0"/>
            </w:tcBorders>
            <w:noWrap w:val="0"/>
            <w:vAlign w:val="top"/>
          </w:tcPr>
          <w:p>
            <w:pPr>
              <w:widowControl/>
              <w:jc w:val="center"/>
              <w:textAlignment w:val="center"/>
              <w:rPr>
                <w:color w:val="000000"/>
                <w:kern w:val="0"/>
                <w:sz w:val="22"/>
                <w:szCs w:val="22"/>
                <w:lang w:bidi="ar"/>
              </w:rPr>
            </w:pPr>
            <w:r>
              <w:rPr>
                <w:rFonts w:hint="eastAsia"/>
                <w:color w:val="000000"/>
                <w:kern w:val="0"/>
                <w:sz w:val="22"/>
                <w:szCs w:val="22"/>
                <w:lang w:bidi="ar"/>
              </w:rPr>
              <w:t>5</w:t>
            </w:r>
            <w:r>
              <w:rPr>
                <w:color w:val="000000"/>
                <w:kern w:val="0"/>
                <w:sz w:val="22"/>
                <w:szCs w:val="22"/>
                <w:lang w:bidi="ar"/>
              </w:rPr>
              <w:t>00</w:t>
            </w:r>
          </w:p>
        </w:tc>
        <w:tc>
          <w:tcPr>
            <w:tcW w:w="713"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2352</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2"/>
                <w:szCs w:val="22"/>
              </w:rPr>
            </w:pPr>
            <w:r>
              <w:rPr>
                <w:color w:val="000000"/>
                <w:kern w:val="0"/>
                <w:sz w:val="22"/>
                <w:szCs w:val="22"/>
                <w:lang w:bidi="ar"/>
              </w:rPr>
              <w:t>2099</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cs="Calibri"/>
                <w:color w:val="000000"/>
                <w:kern w:val="0"/>
                <w:sz w:val="22"/>
                <w:szCs w:val="22"/>
              </w:rPr>
            </w:pPr>
            <w:r>
              <w:rPr>
                <w:rFonts w:cs="Calibri"/>
                <w:color w:val="000000"/>
                <w:kern w:val="0"/>
                <w:sz w:val="22"/>
                <w:szCs w:val="22"/>
              </w:rPr>
              <w:t>90.46%</w:t>
            </w: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2020年</w:t>
            </w:r>
          </w:p>
        </w:tc>
        <w:tc>
          <w:tcPr>
            <w:tcW w:w="1034"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sz w:val="22"/>
                <w:szCs w:val="22"/>
              </w:rPr>
            </w:pPr>
            <w:r>
              <w:rPr>
                <w:color w:val="000000"/>
                <w:kern w:val="0"/>
                <w:sz w:val="22"/>
                <w:szCs w:val="22"/>
                <w:lang w:bidi="ar"/>
              </w:rPr>
              <w:t>1000</w:t>
            </w:r>
          </w:p>
        </w:tc>
        <w:tc>
          <w:tcPr>
            <w:tcW w:w="509"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color w:val="000000"/>
                <w:kern w:val="0"/>
                <w:sz w:val="22"/>
                <w:szCs w:val="22"/>
                <w:lang w:bidi="ar"/>
              </w:rPr>
            </w:pPr>
            <w:r>
              <w:rPr>
                <w:rFonts w:hint="eastAsia"/>
                <w:color w:val="000000"/>
                <w:kern w:val="0"/>
                <w:sz w:val="22"/>
                <w:szCs w:val="22"/>
                <w:lang w:bidi="ar"/>
              </w:rPr>
              <w:t>5</w:t>
            </w:r>
            <w:r>
              <w:rPr>
                <w:color w:val="000000"/>
                <w:kern w:val="0"/>
                <w:sz w:val="22"/>
                <w:szCs w:val="22"/>
                <w:lang w:bidi="ar"/>
              </w:rPr>
              <w:t>00</w:t>
            </w:r>
          </w:p>
        </w:tc>
        <w:tc>
          <w:tcPr>
            <w:tcW w:w="713"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color w:val="000000"/>
                <w:kern w:val="0"/>
                <w:sz w:val="22"/>
                <w:szCs w:val="22"/>
                <w:lang w:bidi="ar"/>
              </w:rPr>
              <w:t>1875</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sz w:val="22"/>
                <w:szCs w:val="22"/>
              </w:rPr>
            </w:pPr>
            <w:r>
              <w:rPr>
                <w:color w:val="000000"/>
                <w:kern w:val="0"/>
                <w:sz w:val="22"/>
                <w:szCs w:val="22"/>
                <w:lang w:bidi="ar"/>
              </w:rPr>
              <w:t>1839</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cs="Calibri"/>
                <w:color w:val="000000"/>
                <w:kern w:val="0"/>
                <w:sz w:val="22"/>
                <w:szCs w:val="22"/>
              </w:rPr>
            </w:pPr>
            <w:r>
              <w:rPr>
                <w:rFonts w:cs="Calibri"/>
                <w:color w:val="000000"/>
                <w:kern w:val="0"/>
                <w:sz w:val="22"/>
                <w:szCs w:val="22"/>
              </w:rPr>
              <w:t>125.00%</w:t>
            </w:r>
          </w:p>
        </w:tc>
      </w:tr>
      <w:tr>
        <w:tblPrEx>
          <w:tblCellMar>
            <w:top w:w="0" w:type="dxa"/>
            <w:left w:w="108" w:type="dxa"/>
            <w:bottom w:w="0" w:type="dxa"/>
            <w:right w:w="108" w:type="dxa"/>
          </w:tblCellMar>
        </w:tblPrEx>
        <w:trPr>
          <w:trHeight w:val="285" w:hRule="atLeast"/>
          <w:jc w:val="center"/>
        </w:trPr>
        <w:tc>
          <w:tcPr>
            <w:tcW w:w="670"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rFonts w:hint="eastAsia"/>
                <w:color w:val="000000"/>
                <w:kern w:val="0"/>
                <w:sz w:val="22"/>
                <w:szCs w:val="22"/>
                <w:lang w:bidi="ar"/>
              </w:rPr>
              <w:t>合计</w:t>
            </w:r>
          </w:p>
        </w:tc>
        <w:tc>
          <w:tcPr>
            <w:tcW w:w="1034"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rFonts w:hint="eastAsia"/>
                <w:color w:val="000000"/>
                <w:kern w:val="0"/>
                <w:sz w:val="22"/>
                <w:szCs w:val="22"/>
                <w:lang w:bidi="ar"/>
              </w:rPr>
              <w:t>6</w:t>
            </w:r>
            <w:r>
              <w:rPr>
                <w:color w:val="000000"/>
                <w:kern w:val="0"/>
                <w:sz w:val="22"/>
                <w:szCs w:val="22"/>
                <w:lang w:bidi="ar"/>
              </w:rPr>
              <w:t>560</w:t>
            </w:r>
          </w:p>
        </w:tc>
        <w:tc>
          <w:tcPr>
            <w:tcW w:w="509"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color w:val="000000"/>
                <w:kern w:val="0"/>
                <w:sz w:val="22"/>
                <w:szCs w:val="22"/>
                <w:lang w:bidi="ar"/>
              </w:rPr>
            </w:pPr>
            <w:r>
              <w:rPr>
                <w:rFonts w:hint="eastAsia"/>
                <w:color w:val="000000"/>
                <w:kern w:val="0"/>
                <w:sz w:val="22"/>
                <w:szCs w:val="22"/>
                <w:lang w:bidi="ar"/>
              </w:rPr>
              <w:t>2</w:t>
            </w:r>
            <w:r>
              <w:rPr>
                <w:color w:val="000000"/>
                <w:kern w:val="0"/>
                <w:sz w:val="22"/>
                <w:szCs w:val="22"/>
                <w:lang w:bidi="ar"/>
              </w:rPr>
              <w:t>500</w:t>
            </w:r>
          </w:p>
        </w:tc>
        <w:tc>
          <w:tcPr>
            <w:tcW w:w="713"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rFonts w:hint="eastAsia"/>
                <w:color w:val="000000"/>
                <w:kern w:val="0"/>
                <w:sz w:val="22"/>
                <w:szCs w:val="22"/>
                <w:lang w:bidi="ar"/>
              </w:rPr>
              <w:t>12241</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color w:val="000000"/>
                <w:kern w:val="0"/>
                <w:sz w:val="22"/>
                <w:szCs w:val="22"/>
                <w:lang w:bidi="ar"/>
              </w:rPr>
            </w:pPr>
            <w:r>
              <w:rPr>
                <w:rFonts w:hint="eastAsia"/>
                <w:color w:val="000000"/>
                <w:kern w:val="0"/>
                <w:sz w:val="22"/>
                <w:szCs w:val="22"/>
                <w:lang w:bidi="ar"/>
              </w:rPr>
              <w:t>9</w:t>
            </w:r>
            <w:r>
              <w:rPr>
                <w:color w:val="000000"/>
                <w:kern w:val="0"/>
                <w:sz w:val="22"/>
                <w:szCs w:val="22"/>
                <w:lang w:bidi="ar"/>
              </w:rPr>
              <w:t>035</w:t>
            </w:r>
          </w:p>
        </w:tc>
        <w:tc>
          <w:tcPr>
            <w:tcW w:w="1025"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color w:val="000000"/>
                <w:kern w:val="0"/>
                <w:sz w:val="22"/>
                <w:szCs w:val="22"/>
                <w:lang w:bidi="ar"/>
              </w:rPr>
            </w:pPr>
            <w:r>
              <w:rPr>
                <w:rFonts w:cs="Calibri"/>
                <w:color w:val="000000"/>
                <w:kern w:val="0"/>
                <w:sz w:val="22"/>
                <w:szCs w:val="22"/>
              </w:rPr>
              <w:t>1</w:t>
            </w:r>
            <w:r>
              <w:rPr>
                <w:rFonts w:hint="eastAsia" w:cs="Calibri"/>
                <w:color w:val="000000"/>
                <w:kern w:val="0"/>
                <w:sz w:val="22"/>
                <w:szCs w:val="22"/>
              </w:rPr>
              <w:t>35.11</w:t>
            </w:r>
            <w:r>
              <w:rPr>
                <w:rFonts w:cs="Calibri"/>
                <w:color w:val="000000"/>
                <w:kern w:val="0"/>
                <w:sz w:val="22"/>
                <w:szCs w:val="22"/>
              </w:rPr>
              <w:t>%</w:t>
            </w:r>
          </w:p>
        </w:tc>
      </w:tr>
    </w:tbl>
    <w:p>
      <w:pPr>
        <w:snapToGrid w:val="0"/>
        <w:spacing w:line="500" w:lineRule="atLeas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2.农村实用人才培训类型情况。</w:t>
      </w:r>
      <w:r>
        <w:rPr>
          <w:rFonts w:hint="eastAsia" w:ascii="仿宋_GB2312" w:hAnsi="Times New Roman" w:eastAsia="仿宋_GB2312" w:cs="Times New Roman"/>
          <w:sz w:val="32"/>
          <w:szCs w:val="32"/>
        </w:rPr>
        <w:t>根据《丽水市级农民培训项目管理实施细则（暂行）》（丽农办〔2017〕8号），农村实用人才包括生产型、经营型、技能服务型、技能带动型和社会管理服务型五类。2016-2020年，丽水全市农村实用人才培训63556人次，各类型人才培训人次情况见图1。</w:t>
      </w:r>
    </w:p>
    <w:p>
      <w:pPr>
        <w:pStyle w:val="2"/>
        <w:ind w:left="0"/>
        <w:jc w:val="center"/>
        <w:rPr>
          <w:rFonts w:hint="eastAsia"/>
        </w:rPr>
      </w:pPr>
      <w:r>
        <w:drawing>
          <wp:inline distT="0" distB="0" distL="114300" distR="114300">
            <wp:extent cx="4666615" cy="1994535"/>
            <wp:effectExtent l="5080" t="5080" r="14605" b="19685"/>
            <wp:docPr id="8"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snapToGrid w:val="0"/>
        <w:spacing w:line="500" w:lineRule="atLeas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2020年，丽水市级农村实用人才培训1875人次，各类型人才培训人次情况见图2。</w:t>
      </w:r>
    </w:p>
    <w:p>
      <w:pPr>
        <w:pStyle w:val="2"/>
        <w:ind w:left="0"/>
        <w:jc w:val="center"/>
      </w:pPr>
      <w:r>
        <w:drawing>
          <wp:inline distT="0" distB="0" distL="114300" distR="114300">
            <wp:extent cx="4181475" cy="2351405"/>
            <wp:effectExtent l="4445" t="4445" r="5080" b="6350"/>
            <wp:docPr id="7" name="图表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napToGrid w:val="0"/>
        <w:spacing w:line="500" w:lineRule="atLeast"/>
        <w:ind w:firstLine="641"/>
        <w:rPr>
          <w:rFonts w:hint="eastAsia" w:ascii="仿宋_GB2312" w:hAnsi="Calibri" w:eastAsia="仿宋_GB2312"/>
          <w:sz w:val="32"/>
          <w:szCs w:val="32"/>
        </w:rPr>
      </w:pPr>
      <w:r>
        <w:rPr>
          <w:rFonts w:hint="eastAsia" w:ascii="仿宋_GB2312" w:eastAsia="仿宋_GB2312"/>
          <w:b/>
          <w:bCs/>
          <w:sz w:val="32"/>
          <w:szCs w:val="32"/>
        </w:rPr>
        <w:t>3</w:t>
      </w:r>
      <w:r>
        <w:rPr>
          <w:rFonts w:ascii="仿宋_GB2312" w:eastAsia="仿宋_GB2312"/>
          <w:b/>
          <w:bCs/>
          <w:sz w:val="32"/>
          <w:szCs w:val="32"/>
        </w:rPr>
        <w:t>.</w:t>
      </w:r>
      <w:r>
        <w:rPr>
          <w:rFonts w:hint="eastAsia" w:ascii="仿宋_GB2312" w:eastAsia="仿宋_GB2312"/>
          <w:b/>
          <w:bCs/>
          <w:sz w:val="32"/>
          <w:szCs w:val="32"/>
        </w:rPr>
        <w:t>培训开班情况。</w:t>
      </w:r>
      <w:r>
        <w:rPr>
          <w:rFonts w:hint="eastAsia" w:ascii="仿宋_GB2312" w:hAnsi="Calibri" w:eastAsia="仿宋_GB2312"/>
          <w:sz w:val="32"/>
          <w:szCs w:val="32"/>
        </w:rPr>
        <w:t>2016-2020年，市级合计开办农民培训班241次，各年度培训班开班情况见图3。</w:t>
      </w:r>
    </w:p>
    <w:p>
      <w:pPr>
        <w:pStyle w:val="2"/>
        <w:ind w:left="0"/>
        <w:jc w:val="center"/>
      </w:pPr>
      <w:r>
        <w:drawing>
          <wp:inline distT="0" distB="0" distL="114300" distR="114300">
            <wp:extent cx="4572000" cy="2762250"/>
            <wp:effectExtent l="4445" t="4445" r="14605" b="14605"/>
            <wp:docPr id="9" name="图表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napToGrid w:val="0"/>
        <w:spacing w:line="500" w:lineRule="atLeas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级培训项目主要由丽水农民学院和丽水乡村振兴讲习所承担。丽水农民学院设在丽水职业技术学院，市级乡村振兴讲习所分别设在丽水市委党校、丽水学院、丽水职业技术学院和丽水广播电视大学。2016-2020年，市级培训主要由丽水学院、丽水职业技术学院和丽水广播电视大学承担，各培训机构开班情况见图4。</w:t>
      </w:r>
    </w:p>
    <w:p>
      <w:pPr>
        <w:pStyle w:val="2"/>
        <w:ind w:left="0" w:firstLine="480" w:firstLineChars="200"/>
        <w:jc w:val="center"/>
      </w:pPr>
      <w:r>
        <w:drawing>
          <wp:inline distT="0" distB="0" distL="114300" distR="114300">
            <wp:extent cx="4644390" cy="2550795"/>
            <wp:effectExtent l="4445" t="4445" r="18415" b="16510"/>
            <wp:docPr id="10" name="图表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ind w:left="0" w:firstLine="480" w:firstLineChars="200"/>
        <w:jc w:val="center"/>
      </w:pPr>
    </w:p>
    <w:p>
      <w:pPr>
        <w:pStyle w:val="3"/>
        <w:snapToGrid w:val="0"/>
        <w:spacing w:before="0" w:after="0" w:line="500" w:lineRule="atLeast"/>
        <w:ind w:firstLine="640" w:firstLineChars="200"/>
        <w:rPr>
          <w:rFonts w:hint="eastAsia" w:eastAsia="黑体"/>
          <w:b w:val="0"/>
          <w:sz w:val="32"/>
          <w:szCs w:val="32"/>
        </w:rPr>
      </w:pPr>
      <w:r>
        <w:rPr>
          <w:rFonts w:eastAsia="黑体"/>
          <w:b w:val="0"/>
          <w:sz w:val="32"/>
          <w:szCs w:val="32"/>
        </w:rPr>
        <w:t>二、绩效分析</w:t>
      </w:r>
      <w:r>
        <w:rPr>
          <w:rFonts w:hint="eastAsia" w:eastAsia="黑体"/>
          <w:b w:val="0"/>
          <w:sz w:val="32"/>
          <w:szCs w:val="32"/>
        </w:rPr>
        <w:t>及评价结论</w:t>
      </w:r>
    </w:p>
    <w:p>
      <w:pPr>
        <w:snapToGrid w:val="0"/>
        <w:spacing w:line="500" w:lineRule="atLeast"/>
        <w:ind w:firstLine="643" w:firstLineChars="200"/>
        <w:outlineLvl w:val="1"/>
        <w:rPr>
          <w:rFonts w:eastAsia="楷体_GB2312"/>
          <w:b/>
          <w:bCs w:val="0"/>
          <w:sz w:val="32"/>
          <w:szCs w:val="32"/>
        </w:rPr>
      </w:pPr>
      <w:r>
        <w:rPr>
          <w:rFonts w:eastAsia="楷体_GB2312"/>
          <w:b/>
          <w:bCs w:val="0"/>
          <w:sz w:val="32"/>
          <w:szCs w:val="32"/>
        </w:rPr>
        <w:t>（一）</w:t>
      </w:r>
      <w:r>
        <w:rPr>
          <w:rFonts w:hint="eastAsia" w:eastAsia="楷体_GB2312"/>
          <w:b/>
          <w:bCs w:val="0"/>
          <w:sz w:val="32"/>
          <w:szCs w:val="32"/>
        </w:rPr>
        <w:t>评价内容及方式</w:t>
      </w:r>
    </w:p>
    <w:p>
      <w:pPr>
        <w:snapToGrid w:val="0"/>
        <w:spacing w:line="500" w:lineRule="atLeast"/>
        <w:ind w:firstLine="643" w:firstLineChars="200"/>
        <w:rPr>
          <w:rFonts w:hint="eastAsia" w:ascii="仿宋_GB2312" w:eastAsia="仿宋_GB2312"/>
          <w:b/>
          <w:bCs/>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评价对象和范围</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（1）评价对象：农民培训项目（农村实用人才培训）；</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（2）评价时间范围：2016-2020年度。</w:t>
      </w:r>
    </w:p>
    <w:p>
      <w:pPr>
        <w:snapToGrid w:val="0"/>
        <w:spacing w:line="500" w:lineRule="atLeast"/>
        <w:ind w:firstLine="643" w:firstLineChars="200"/>
        <w:rPr>
          <w:rFonts w:hint="eastAsia" w:ascii="仿宋_GB2312" w:eastAsia="仿宋_GB2312"/>
          <w:b/>
          <w:bCs/>
          <w:sz w:val="32"/>
          <w:szCs w:val="32"/>
        </w:rPr>
      </w:pPr>
      <w:r>
        <w:rPr>
          <w:rFonts w:ascii="仿宋_GB2312" w:eastAsia="仿宋_GB2312"/>
          <w:b/>
          <w:bCs/>
          <w:sz w:val="32"/>
          <w:szCs w:val="32"/>
        </w:rPr>
        <w:t>2.</w:t>
      </w:r>
      <w:r>
        <w:rPr>
          <w:rFonts w:hint="eastAsia" w:ascii="仿宋_GB2312" w:eastAsia="仿宋_GB2312"/>
          <w:b/>
          <w:bCs/>
          <w:sz w:val="32"/>
          <w:szCs w:val="32"/>
        </w:rPr>
        <w:t>绩效评价开展方式</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为保证评价工作的科学性和严谨性，提高工作效率，考虑到新冠疫情影响，本次评价工作拟采用现场评价和非现场评价相结合的方式，运用座谈、公众评判等方法开展。</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（1）“现场+非现</w:t>
      </w:r>
      <w:r>
        <w:rPr>
          <w:rFonts w:hint="eastAsia" w:ascii="仿宋_GB2312" w:eastAsia="仿宋_GB2312"/>
          <w:spacing w:val="-6"/>
          <w:sz w:val="32"/>
          <w:szCs w:val="32"/>
        </w:rPr>
        <w:t>场”的方式。考虑疫情影响，本次</w:t>
      </w:r>
      <w:r>
        <w:rPr>
          <w:rFonts w:hint="eastAsia" w:ascii="仿宋_GB2312" w:eastAsia="仿宋_GB2312"/>
          <w:sz w:val="32"/>
          <w:szCs w:val="32"/>
        </w:rPr>
        <w:t>评价对能通过非现场方式获取信息的，尽量通过非现场方式获取。在对通过非现场的方式采集相关数据、收集资料进行分析、梳理疑问点后，再通过现场座谈、资料核查等方式进一步确认问题。</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（2）市级层面座谈。与市农业农村局业务负责人进行座谈，了解2016-2020年度农民培训项目的资金使用情况、项目实施情况以及培训效果等内容。</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3）培训情况核实。选取一定数量的培训课程，通过培训台账等资料核实资金使用情况（包括支出的合规性、及时性等）以及教学开展情况（包括教学计划、课程设置、师资保障、效果评估、人员实际参培等）。</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（4）公众评判。通过制定业务主管部门、参训人员的问卷及抽样调查对项目实施效果进行评判，评价相关方满意程度。问卷对象将选取一定比例的参训人员通过线上、线下结合的方式开展。</w:t>
      </w:r>
    </w:p>
    <w:p>
      <w:pPr>
        <w:snapToGrid w:val="0"/>
        <w:spacing w:line="500" w:lineRule="atLeast"/>
        <w:ind w:firstLine="643" w:firstLineChars="200"/>
        <w:rPr>
          <w:rFonts w:ascii="仿宋_GB2312" w:eastAsia="仿宋_GB2312"/>
          <w:b/>
          <w:bCs/>
          <w:sz w:val="32"/>
          <w:szCs w:val="32"/>
        </w:rPr>
      </w:pPr>
      <w:r>
        <w:rPr>
          <w:rFonts w:ascii="仿宋_GB2312" w:eastAsia="仿宋_GB2312"/>
          <w:b/>
          <w:bCs/>
          <w:sz w:val="32"/>
          <w:szCs w:val="32"/>
        </w:rPr>
        <w:t>3.</w:t>
      </w:r>
      <w:r>
        <w:rPr>
          <w:rFonts w:hint="eastAsia" w:ascii="仿宋_GB2312" w:eastAsia="仿宋_GB2312"/>
          <w:b/>
          <w:bCs/>
          <w:sz w:val="32"/>
          <w:szCs w:val="32"/>
        </w:rPr>
        <w:t>评价工作流程</w:t>
      </w:r>
    </w:p>
    <w:p>
      <w:pPr>
        <w:pStyle w:val="2"/>
        <w:snapToGrid w:val="0"/>
        <w:spacing w:line="500" w:lineRule="atLeast"/>
        <w:ind w:left="0" w:firstLine="640" w:firstLineChars="200"/>
        <w:rPr>
          <w:rFonts w:hint="eastAsia" w:ascii="仿宋_GB2312" w:eastAsia="仿宋_GB2312"/>
        </w:rPr>
      </w:pPr>
      <w:r>
        <w:rPr>
          <w:rFonts w:hint="eastAsia" w:ascii="仿宋_GB2312" w:hAnsi="Times New Roman" w:eastAsia="仿宋_GB2312"/>
          <w:kern w:val="0"/>
          <w:sz w:val="32"/>
          <w:szCs w:val="32"/>
        </w:rPr>
        <w:t>本次绩效评价工作安排如表3所示。</w:t>
      </w:r>
    </w:p>
    <w:p>
      <w:pPr>
        <w:pStyle w:val="2"/>
        <w:snapToGrid w:val="0"/>
        <w:spacing w:line="500" w:lineRule="atLeast"/>
        <w:ind w:left="0"/>
        <w:jc w:val="center"/>
        <w:rPr>
          <w:rFonts w:ascii="Times New Roman" w:hAnsi="Times New Roman" w:eastAsia="黑体"/>
          <w:sz w:val="28"/>
          <w:szCs w:val="28"/>
        </w:rPr>
      </w:pPr>
      <w:r>
        <w:rPr>
          <w:rFonts w:ascii="Times New Roman" w:hAnsi="Times New Roman" w:eastAsia="黑体"/>
          <w:sz w:val="28"/>
          <w:szCs w:val="28"/>
        </w:rPr>
        <w:t>表</w:t>
      </w:r>
      <w:r>
        <w:rPr>
          <w:rFonts w:hint="eastAsia" w:ascii="Times New Roman" w:hAnsi="Times New Roman" w:eastAsia="黑体"/>
          <w:sz w:val="28"/>
          <w:szCs w:val="28"/>
        </w:rPr>
        <w:t>3</w:t>
      </w:r>
      <w:r>
        <w:rPr>
          <w:rFonts w:ascii="Times New Roman" w:hAnsi="Times New Roman" w:eastAsia="黑体"/>
          <w:sz w:val="28"/>
          <w:szCs w:val="28"/>
        </w:rPr>
        <w:t>：绩效评价</w:t>
      </w:r>
      <w:r>
        <w:rPr>
          <w:rFonts w:hint="eastAsia" w:ascii="Times New Roman" w:hAnsi="Times New Roman" w:eastAsia="黑体"/>
          <w:sz w:val="28"/>
          <w:szCs w:val="28"/>
        </w:rPr>
        <w:t>工作</w:t>
      </w:r>
      <w:r>
        <w:rPr>
          <w:rFonts w:ascii="Times New Roman" w:hAnsi="Times New Roman" w:eastAsia="黑体"/>
          <w:sz w:val="28"/>
          <w:szCs w:val="28"/>
        </w:rPr>
        <w:t>安排</w:t>
      </w:r>
    </w:p>
    <w:tbl>
      <w:tblPr>
        <w:tblStyle w:val="6"/>
        <w:tblW w:w="53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5440"/>
        <w:gridCol w:w="1551"/>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blHeader/>
          <w:jc w:val="center"/>
        </w:trPr>
        <w:tc>
          <w:tcPr>
            <w:tcW w:w="453" w:type="pct"/>
            <w:tcBorders>
              <w:top w:val="single" w:color="auto" w:sz="4" w:space="0"/>
              <w:left w:val="single" w:color="auto" w:sz="4" w:space="0"/>
              <w:bottom w:val="single" w:color="auto" w:sz="4" w:space="0"/>
              <w:right w:val="single" w:color="auto" w:sz="4" w:space="0"/>
            </w:tcBorders>
            <w:shd w:val="clear" w:color="auto" w:fill="BEBEBE"/>
            <w:noWrap w:val="0"/>
            <w:vAlign w:val="center"/>
          </w:tcPr>
          <w:p>
            <w:pPr>
              <w:adjustRightInd w:val="0"/>
              <w:snapToGrid w:val="0"/>
              <w:jc w:val="center"/>
              <w:rPr>
                <w:b/>
                <w:sz w:val="22"/>
                <w:szCs w:val="22"/>
              </w:rPr>
            </w:pPr>
            <w:r>
              <w:rPr>
                <w:b/>
                <w:sz w:val="22"/>
                <w:szCs w:val="22"/>
              </w:rPr>
              <w:t>阶段</w:t>
            </w:r>
          </w:p>
          <w:p>
            <w:pPr>
              <w:adjustRightInd w:val="0"/>
              <w:snapToGrid w:val="0"/>
              <w:jc w:val="center"/>
              <w:rPr>
                <w:b/>
                <w:sz w:val="22"/>
                <w:szCs w:val="22"/>
              </w:rPr>
            </w:pPr>
            <w:r>
              <w:rPr>
                <w:b/>
                <w:sz w:val="22"/>
                <w:szCs w:val="22"/>
              </w:rPr>
              <w:t>安排</w:t>
            </w:r>
          </w:p>
        </w:tc>
        <w:tc>
          <w:tcPr>
            <w:tcW w:w="2982" w:type="pct"/>
            <w:tcBorders>
              <w:top w:val="single" w:color="auto" w:sz="4" w:space="0"/>
              <w:left w:val="single" w:color="auto" w:sz="4" w:space="0"/>
              <w:bottom w:val="single" w:color="auto" w:sz="4" w:space="0"/>
              <w:right w:val="single" w:color="auto" w:sz="4" w:space="0"/>
            </w:tcBorders>
            <w:shd w:val="clear" w:color="auto" w:fill="BEBEBE"/>
            <w:noWrap w:val="0"/>
            <w:vAlign w:val="center"/>
          </w:tcPr>
          <w:p>
            <w:pPr>
              <w:adjustRightInd w:val="0"/>
              <w:snapToGrid w:val="0"/>
              <w:jc w:val="center"/>
              <w:rPr>
                <w:b/>
                <w:sz w:val="22"/>
                <w:szCs w:val="22"/>
              </w:rPr>
            </w:pPr>
            <w:r>
              <w:rPr>
                <w:b/>
                <w:sz w:val="22"/>
                <w:szCs w:val="22"/>
              </w:rPr>
              <w:t>工作内容</w:t>
            </w:r>
          </w:p>
        </w:tc>
        <w:tc>
          <w:tcPr>
            <w:tcW w:w="850" w:type="pct"/>
            <w:tcBorders>
              <w:top w:val="single" w:color="auto" w:sz="4" w:space="0"/>
              <w:left w:val="single" w:color="auto" w:sz="4" w:space="0"/>
              <w:bottom w:val="single" w:color="auto" w:sz="4" w:space="0"/>
              <w:right w:val="single" w:color="auto" w:sz="4" w:space="0"/>
            </w:tcBorders>
            <w:shd w:val="clear" w:color="auto" w:fill="BEBEBE"/>
            <w:noWrap w:val="0"/>
            <w:vAlign w:val="center"/>
          </w:tcPr>
          <w:p>
            <w:pPr>
              <w:adjustRightInd w:val="0"/>
              <w:snapToGrid w:val="0"/>
              <w:jc w:val="center"/>
              <w:rPr>
                <w:b/>
                <w:sz w:val="22"/>
                <w:szCs w:val="22"/>
              </w:rPr>
            </w:pPr>
            <w:r>
              <w:rPr>
                <w:b/>
                <w:sz w:val="22"/>
                <w:szCs w:val="22"/>
              </w:rPr>
              <w:t>工作成果</w:t>
            </w:r>
          </w:p>
        </w:tc>
        <w:tc>
          <w:tcPr>
            <w:tcW w:w="713" w:type="pct"/>
            <w:tcBorders>
              <w:top w:val="single" w:color="auto" w:sz="4" w:space="0"/>
              <w:left w:val="single" w:color="auto" w:sz="4" w:space="0"/>
              <w:bottom w:val="single" w:color="auto" w:sz="4" w:space="0"/>
              <w:right w:val="single" w:color="auto" w:sz="4" w:space="0"/>
            </w:tcBorders>
            <w:shd w:val="clear" w:color="auto" w:fill="BEBEBE"/>
            <w:noWrap w:val="0"/>
            <w:vAlign w:val="center"/>
          </w:tcPr>
          <w:p>
            <w:pPr>
              <w:adjustRightInd w:val="0"/>
              <w:snapToGrid w:val="0"/>
              <w:jc w:val="center"/>
              <w:rPr>
                <w:b/>
                <w:sz w:val="22"/>
                <w:szCs w:val="22"/>
              </w:rPr>
            </w:pPr>
            <w:r>
              <w:rPr>
                <w:b/>
                <w:sz w:val="22"/>
                <w:szCs w:val="22"/>
              </w:rPr>
              <w:t>进度说明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453"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sz w:val="22"/>
                <w:szCs w:val="22"/>
              </w:rPr>
            </w:pPr>
            <w:r>
              <w:rPr>
                <w:sz w:val="22"/>
                <w:szCs w:val="22"/>
              </w:rPr>
              <w:t>准</w:t>
            </w:r>
          </w:p>
          <w:p>
            <w:pPr>
              <w:adjustRightInd w:val="0"/>
              <w:snapToGrid w:val="0"/>
              <w:jc w:val="center"/>
              <w:rPr>
                <w:sz w:val="22"/>
                <w:szCs w:val="22"/>
              </w:rPr>
            </w:pPr>
            <w:r>
              <w:rPr>
                <w:sz w:val="22"/>
                <w:szCs w:val="22"/>
              </w:rPr>
              <w:t>备</w:t>
            </w:r>
          </w:p>
          <w:p>
            <w:pPr>
              <w:adjustRightInd w:val="0"/>
              <w:snapToGrid w:val="0"/>
              <w:jc w:val="center"/>
              <w:rPr>
                <w:sz w:val="22"/>
                <w:szCs w:val="22"/>
              </w:rPr>
            </w:pPr>
            <w:r>
              <w:rPr>
                <w:sz w:val="22"/>
                <w:szCs w:val="22"/>
              </w:rPr>
              <w:t>阶</w:t>
            </w:r>
          </w:p>
          <w:p>
            <w:pPr>
              <w:adjustRightInd w:val="0"/>
              <w:snapToGrid w:val="0"/>
              <w:jc w:val="center"/>
              <w:rPr>
                <w:sz w:val="22"/>
                <w:szCs w:val="22"/>
              </w:rPr>
            </w:pPr>
            <w:r>
              <w:rPr>
                <w:sz w:val="22"/>
                <w:szCs w:val="22"/>
              </w:rPr>
              <w:t>段</w:t>
            </w: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b/>
                <w:bCs/>
                <w:sz w:val="22"/>
                <w:szCs w:val="22"/>
              </w:rPr>
            </w:pPr>
            <w:r>
              <w:rPr>
                <w:b/>
                <w:sz w:val="22"/>
                <w:szCs w:val="22"/>
              </w:rPr>
              <w:t>1.组建评价工作组：</w:t>
            </w:r>
            <w:r>
              <w:rPr>
                <w:bCs/>
                <w:sz w:val="22"/>
                <w:szCs w:val="22"/>
              </w:rPr>
              <w:t>中介机构与相关业务专家共同组建绩效评价工作组。</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工作组成员</w:t>
            </w:r>
          </w:p>
          <w:p>
            <w:pPr>
              <w:adjustRightInd w:val="0"/>
              <w:snapToGrid w:val="0"/>
              <w:jc w:val="center"/>
              <w:rPr>
                <w:sz w:val="22"/>
                <w:szCs w:val="22"/>
              </w:rPr>
            </w:pPr>
            <w:r>
              <w:rPr>
                <w:sz w:val="22"/>
                <w:szCs w:val="22"/>
              </w:rPr>
              <w:t>名单</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sz w:val="22"/>
                <w:szCs w:val="22"/>
              </w:rPr>
            </w:pPr>
            <w:r>
              <w:rPr>
                <w:sz w:val="22"/>
                <w:szCs w:val="22"/>
              </w:rPr>
              <w:t>6月5日前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53" w:type="pct"/>
            <w:vMerge w:val="continue"/>
            <w:tcBorders>
              <w:left w:val="single" w:color="auto" w:sz="4" w:space="0"/>
              <w:right w:val="single" w:color="auto" w:sz="4" w:space="0"/>
            </w:tcBorders>
            <w:noWrap w:val="0"/>
            <w:vAlign w:val="center"/>
          </w:tcPr>
          <w:p>
            <w:pPr>
              <w:adjustRightInd w:val="0"/>
              <w:snapToGrid w:val="0"/>
              <w:jc w:val="center"/>
              <w:rPr>
                <w:b/>
                <w:bCs/>
                <w:sz w:val="22"/>
                <w:szCs w:val="22"/>
              </w:rPr>
            </w:pP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b/>
                <w:bCs/>
                <w:sz w:val="22"/>
                <w:szCs w:val="22"/>
              </w:rPr>
            </w:pPr>
            <w:r>
              <w:rPr>
                <w:b/>
                <w:sz w:val="22"/>
                <w:szCs w:val="22"/>
              </w:rPr>
              <w:t>2.明确评价工作任务：</w:t>
            </w:r>
            <w:r>
              <w:rPr>
                <w:bCs/>
                <w:sz w:val="22"/>
                <w:szCs w:val="22"/>
              </w:rPr>
              <w:t>与市农业农村局沟通交流，了解资金总体使用情况及项目实施情况，明确绩效评价方式、评价任务及时间安排。</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评价工作时间安排</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6月10日前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453" w:type="pct"/>
            <w:vMerge w:val="continue"/>
            <w:tcBorders>
              <w:left w:val="single" w:color="auto" w:sz="4" w:space="0"/>
              <w:right w:val="single" w:color="auto" w:sz="4" w:space="0"/>
            </w:tcBorders>
            <w:noWrap w:val="0"/>
            <w:vAlign w:val="center"/>
          </w:tcPr>
          <w:p>
            <w:pPr>
              <w:adjustRightInd w:val="0"/>
              <w:snapToGrid w:val="0"/>
              <w:jc w:val="center"/>
              <w:rPr>
                <w:bCs/>
                <w:sz w:val="22"/>
                <w:szCs w:val="22"/>
              </w:rPr>
            </w:pP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bCs/>
                <w:sz w:val="22"/>
                <w:szCs w:val="22"/>
              </w:rPr>
            </w:pPr>
            <w:r>
              <w:rPr>
                <w:b/>
                <w:sz w:val="22"/>
                <w:szCs w:val="22"/>
              </w:rPr>
              <w:t>3.制定资料清单和问题清单：</w:t>
            </w:r>
            <w:r>
              <w:rPr>
                <w:bCs/>
                <w:sz w:val="22"/>
                <w:szCs w:val="22"/>
              </w:rPr>
              <w:t>拟定评价需准备资料清单以及问题清单。</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资料清单和</w:t>
            </w:r>
          </w:p>
          <w:p>
            <w:pPr>
              <w:adjustRightInd w:val="0"/>
              <w:snapToGrid w:val="0"/>
              <w:jc w:val="center"/>
              <w:rPr>
                <w:sz w:val="22"/>
                <w:szCs w:val="22"/>
              </w:rPr>
            </w:pPr>
            <w:r>
              <w:rPr>
                <w:sz w:val="22"/>
                <w:szCs w:val="22"/>
              </w:rPr>
              <w:t>问题清单</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6月15日前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453"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sz w:val="22"/>
                <w:szCs w:val="22"/>
              </w:rPr>
            </w:pPr>
            <w:r>
              <w:rPr>
                <w:b/>
                <w:sz w:val="22"/>
                <w:szCs w:val="22"/>
              </w:rPr>
              <w:t>4.制定绩效评价工作方案：</w:t>
            </w:r>
            <w:r>
              <w:rPr>
                <w:sz w:val="22"/>
                <w:szCs w:val="22"/>
              </w:rPr>
              <w:t>评价工作组制定绩效评价工作方案，评价方案经与市农业农村局征求意见后最终确定实施。</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确定评价工作实施方案</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6月30日前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453" w:type="pct"/>
            <w:vMerge w:val="restart"/>
            <w:tcBorders>
              <w:top w:val="single" w:color="auto" w:sz="4" w:space="0"/>
              <w:left w:val="single" w:color="auto" w:sz="4" w:space="0"/>
              <w:right w:val="single" w:color="auto" w:sz="4" w:space="0"/>
            </w:tcBorders>
            <w:shd w:val="clear" w:color="auto" w:fill="FFFFFF"/>
            <w:noWrap w:val="0"/>
            <w:vAlign w:val="center"/>
          </w:tcPr>
          <w:p>
            <w:pPr>
              <w:adjustRightInd w:val="0"/>
              <w:snapToGrid w:val="0"/>
              <w:jc w:val="center"/>
              <w:rPr>
                <w:bCs/>
                <w:sz w:val="22"/>
                <w:szCs w:val="22"/>
              </w:rPr>
            </w:pPr>
            <w:r>
              <w:rPr>
                <w:bCs/>
                <w:sz w:val="22"/>
                <w:szCs w:val="22"/>
              </w:rPr>
              <w:t>实</w:t>
            </w:r>
          </w:p>
          <w:p>
            <w:pPr>
              <w:adjustRightInd w:val="0"/>
              <w:snapToGrid w:val="0"/>
              <w:jc w:val="center"/>
              <w:rPr>
                <w:bCs/>
                <w:sz w:val="22"/>
                <w:szCs w:val="22"/>
              </w:rPr>
            </w:pPr>
            <w:r>
              <w:rPr>
                <w:bCs/>
                <w:sz w:val="22"/>
                <w:szCs w:val="22"/>
              </w:rPr>
              <w:t>施</w:t>
            </w:r>
          </w:p>
          <w:p>
            <w:pPr>
              <w:adjustRightInd w:val="0"/>
              <w:snapToGrid w:val="0"/>
              <w:jc w:val="center"/>
              <w:rPr>
                <w:bCs/>
                <w:sz w:val="22"/>
                <w:szCs w:val="22"/>
              </w:rPr>
            </w:pPr>
            <w:r>
              <w:rPr>
                <w:bCs/>
                <w:sz w:val="22"/>
                <w:szCs w:val="22"/>
              </w:rPr>
              <w:t>阶</w:t>
            </w:r>
          </w:p>
          <w:p>
            <w:pPr>
              <w:adjustRightInd w:val="0"/>
              <w:snapToGrid w:val="0"/>
              <w:jc w:val="center"/>
              <w:rPr>
                <w:b/>
                <w:sz w:val="22"/>
                <w:szCs w:val="22"/>
              </w:rPr>
            </w:pPr>
            <w:r>
              <w:rPr>
                <w:bCs/>
                <w:sz w:val="22"/>
                <w:szCs w:val="22"/>
              </w:rPr>
              <w:t>段</w:t>
            </w:r>
          </w:p>
        </w:tc>
        <w:tc>
          <w:tcPr>
            <w:tcW w:w="298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left"/>
              <w:rPr>
                <w:bCs/>
                <w:sz w:val="22"/>
                <w:szCs w:val="22"/>
              </w:rPr>
            </w:pPr>
            <w:r>
              <w:rPr>
                <w:b/>
                <w:sz w:val="22"/>
                <w:szCs w:val="22"/>
              </w:rPr>
              <w:t>5.收集与审核资料：</w:t>
            </w:r>
            <w:r>
              <w:rPr>
                <w:bCs/>
                <w:sz w:val="22"/>
                <w:szCs w:val="22"/>
              </w:rPr>
              <w:t>评价工作组根据资料清单收集市级项目资料，并对所收集资料进行复核。</w:t>
            </w:r>
          </w:p>
        </w:tc>
        <w:tc>
          <w:tcPr>
            <w:tcW w:w="85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项目单位提交的相关资料</w:t>
            </w:r>
          </w:p>
        </w:tc>
        <w:tc>
          <w:tcPr>
            <w:tcW w:w="71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7月5日前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4" w:hRule="atLeast"/>
          <w:jc w:val="center"/>
        </w:trPr>
        <w:tc>
          <w:tcPr>
            <w:tcW w:w="453" w:type="pct"/>
            <w:vMerge w:val="continue"/>
            <w:tcBorders>
              <w:left w:val="single" w:color="auto" w:sz="4" w:space="0"/>
              <w:right w:val="single" w:color="auto" w:sz="4" w:space="0"/>
            </w:tcBorders>
            <w:shd w:val="clear" w:color="auto" w:fill="FFFFFF"/>
            <w:noWrap w:val="0"/>
            <w:vAlign w:val="center"/>
          </w:tcPr>
          <w:p>
            <w:pPr>
              <w:adjustRightInd w:val="0"/>
              <w:snapToGrid w:val="0"/>
              <w:jc w:val="center"/>
              <w:rPr>
                <w:b/>
                <w:sz w:val="22"/>
                <w:szCs w:val="22"/>
              </w:rPr>
            </w:pPr>
          </w:p>
        </w:tc>
        <w:tc>
          <w:tcPr>
            <w:tcW w:w="298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left"/>
              <w:rPr>
                <w:b/>
                <w:sz w:val="22"/>
                <w:szCs w:val="22"/>
              </w:rPr>
            </w:pPr>
            <w:r>
              <w:rPr>
                <w:b/>
                <w:sz w:val="22"/>
                <w:szCs w:val="22"/>
              </w:rPr>
              <w:t>6.现场核查、调研及评价：</w:t>
            </w:r>
            <w:r>
              <w:rPr>
                <w:bCs/>
                <w:sz w:val="22"/>
                <w:szCs w:val="22"/>
              </w:rPr>
              <w:t>评价工作组赴实地并开展现场调研，包括现场座谈、实地查看项目实施情况（教学开展情况包括教学计划、课程设置、师资保障、效果评估、人员实际参培等）、资金实际使用情况（包括资金使用的合规性、拨付的及时性等）、受益群体和相关主体访谈等。</w:t>
            </w:r>
          </w:p>
        </w:tc>
        <w:tc>
          <w:tcPr>
            <w:tcW w:w="85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召开座谈会并收取资料以及现场调研及实地走访</w:t>
            </w:r>
          </w:p>
        </w:tc>
        <w:tc>
          <w:tcPr>
            <w:tcW w:w="71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7月15日前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453"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b/>
                <w:sz w:val="22"/>
                <w:szCs w:val="22"/>
              </w:rPr>
            </w:pP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b/>
                <w:sz w:val="22"/>
                <w:szCs w:val="22"/>
              </w:rPr>
            </w:pPr>
            <w:r>
              <w:rPr>
                <w:b/>
                <w:sz w:val="22"/>
                <w:szCs w:val="22"/>
              </w:rPr>
              <w:t>7.汇总形成整体评价结论：</w:t>
            </w:r>
            <w:r>
              <w:rPr>
                <w:sz w:val="22"/>
                <w:szCs w:val="22"/>
              </w:rPr>
              <w:t>评价工作组结合调研数据，对所收集资料进行汇总、整理、分析，形成总体评价结论。</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整合分析材料、总体评价结论</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7月30日前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453"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sz w:val="22"/>
                <w:szCs w:val="22"/>
              </w:rPr>
            </w:pPr>
            <w:r>
              <w:rPr>
                <w:sz w:val="22"/>
                <w:szCs w:val="22"/>
              </w:rPr>
              <w:t>总</w:t>
            </w:r>
          </w:p>
          <w:p>
            <w:pPr>
              <w:adjustRightInd w:val="0"/>
              <w:snapToGrid w:val="0"/>
              <w:jc w:val="center"/>
              <w:rPr>
                <w:sz w:val="22"/>
                <w:szCs w:val="22"/>
              </w:rPr>
            </w:pPr>
            <w:r>
              <w:rPr>
                <w:sz w:val="22"/>
                <w:szCs w:val="22"/>
              </w:rPr>
              <w:t>结</w:t>
            </w:r>
          </w:p>
          <w:p>
            <w:pPr>
              <w:adjustRightInd w:val="0"/>
              <w:snapToGrid w:val="0"/>
              <w:jc w:val="center"/>
              <w:rPr>
                <w:sz w:val="22"/>
                <w:szCs w:val="22"/>
              </w:rPr>
            </w:pPr>
            <w:r>
              <w:rPr>
                <w:sz w:val="22"/>
                <w:szCs w:val="22"/>
              </w:rPr>
              <w:t>阶</w:t>
            </w:r>
          </w:p>
          <w:p>
            <w:pPr>
              <w:adjustRightInd w:val="0"/>
              <w:snapToGrid w:val="0"/>
              <w:jc w:val="center"/>
              <w:rPr>
                <w:sz w:val="22"/>
                <w:szCs w:val="22"/>
              </w:rPr>
            </w:pPr>
            <w:r>
              <w:rPr>
                <w:sz w:val="22"/>
                <w:szCs w:val="22"/>
              </w:rPr>
              <w:t>段</w:t>
            </w: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sz w:val="22"/>
                <w:szCs w:val="22"/>
              </w:rPr>
            </w:pPr>
            <w:r>
              <w:rPr>
                <w:b/>
                <w:sz w:val="22"/>
                <w:szCs w:val="22"/>
              </w:rPr>
              <w:t>8.撰写绩效评价报告：</w:t>
            </w:r>
            <w:r>
              <w:rPr>
                <w:sz w:val="22"/>
                <w:szCs w:val="22"/>
              </w:rPr>
              <w:t>评价工作组撰写绩效评价报告。</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评价报告初稿</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7月30日前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453" w:type="pct"/>
            <w:vMerge w:val="continue"/>
            <w:tcBorders>
              <w:left w:val="single" w:color="auto" w:sz="4" w:space="0"/>
              <w:right w:val="single" w:color="auto" w:sz="4" w:space="0"/>
            </w:tcBorders>
            <w:noWrap w:val="0"/>
            <w:vAlign w:val="center"/>
          </w:tcPr>
          <w:p>
            <w:pPr>
              <w:adjustRightInd w:val="0"/>
              <w:snapToGrid w:val="0"/>
              <w:jc w:val="center"/>
              <w:rPr>
                <w:sz w:val="22"/>
                <w:szCs w:val="22"/>
              </w:rPr>
            </w:pPr>
          </w:p>
        </w:tc>
        <w:tc>
          <w:tcPr>
            <w:tcW w:w="29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sz w:val="22"/>
                <w:szCs w:val="22"/>
              </w:rPr>
            </w:pPr>
            <w:r>
              <w:rPr>
                <w:b/>
                <w:sz w:val="22"/>
                <w:szCs w:val="22"/>
              </w:rPr>
              <w:t>9.报告征求意见并修改完善：</w:t>
            </w:r>
            <w:r>
              <w:rPr>
                <w:sz w:val="22"/>
                <w:szCs w:val="22"/>
              </w:rPr>
              <w:t>评价报告经评审审核后，征求相关方意见，工作组根据意见修改完善报告。</w:t>
            </w:r>
          </w:p>
        </w:tc>
        <w:tc>
          <w:tcPr>
            <w:tcW w:w="8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评价报告征求意见稿</w:t>
            </w:r>
          </w:p>
        </w:tc>
        <w:tc>
          <w:tcPr>
            <w:tcW w:w="71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sz w:val="22"/>
                <w:szCs w:val="22"/>
              </w:rPr>
            </w:pPr>
            <w:r>
              <w:rPr>
                <w:sz w:val="22"/>
                <w:szCs w:val="22"/>
              </w:rPr>
              <w:t>8月5日前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jc w:val="center"/>
        </w:trPr>
        <w:tc>
          <w:tcPr>
            <w:tcW w:w="453" w:type="pct"/>
            <w:vMerge w:val="continue"/>
            <w:tcBorders>
              <w:left w:val="single" w:color="auto" w:sz="4" w:space="0"/>
              <w:right w:val="single" w:color="auto" w:sz="4" w:space="0"/>
            </w:tcBorders>
            <w:shd w:val="clear" w:color="auto" w:fill="FFFFFF"/>
            <w:noWrap w:val="0"/>
            <w:vAlign w:val="center"/>
          </w:tcPr>
          <w:p>
            <w:pPr>
              <w:adjustRightInd w:val="0"/>
              <w:snapToGrid w:val="0"/>
              <w:jc w:val="center"/>
              <w:rPr>
                <w:sz w:val="22"/>
                <w:szCs w:val="22"/>
              </w:rPr>
            </w:pPr>
          </w:p>
        </w:tc>
        <w:tc>
          <w:tcPr>
            <w:tcW w:w="298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left"/>
              <w:rPr>
                <w:sz w:val="22"/>
                <w:szCs w:val="22"/>
              </w:rPr>
            </w:pPr>
            <w:r>
              <w:rPr>
                <w:b/>
                <w:sz w:val="22"/>
                <w:szCs w:val="22"/>
              </w:rPr>
              <w:t>10.报送报告：</w:t>
            </w:r>
            <w:r>
              <w:rPr>
                <w:sz w:val="22"/>
                <w:szCs w:val="22"/>
              </w:rPr>
              <w:t>报送正式版绩效评价报告。</w:t>
            </w:r>
          </w:p>
        </w:tc>
        <w:tc>
          <w:tcPr>
            <w:tcW w:w="85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评价报告终稿</w:t>
            </w:r>
          </w:p>
        </w:tc>
        <w:tc>
          <w:tcPr>
            <w:tcW w:w="71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adjustRightInd w:val="0"/>
              <w:snapToGrid w:val="0"/>
              <w:jc w:val="center"/>
              <w:rPr>
                <w:sz w:val="22"/>
                <w:szCs w:val="22"/>
              </w:rPr>
            </w:pPr>
            <w:r>
              <w:rPr>
                <w:sz w:val="22"/>
                <w:szCs w:val="22"/>
              </w:rPr>
              <w:t>8月20日前</w:t>
            </w:r>
          </w:p>
        </w:tc>
      </w:tr>
    </w:tbl>
    <w:p>
      <w:pPr>
        <w:snapToGrid w:val="0"/>
        <w:spacing w:line="500" w:lineRule="atLeast"/>
        <w:ind w:firstLine="643" w:firstLineChars="200"/>
        <w:outlineLvl w:val="1"/>
        <w:rPr>
          <w:rFonts w:eastAsia="楷体_GB2312"/>
          <w:b/>
          <w:bCs w:val="0"/>
          <w:sz w:val="32"/>
          <w:szCs w:val="32"/>
        </w:rPr>
      </w:pPr>
      <w:bookmarkStart w:id="8" w:name="_Toc74824858"/>
      <w:bookmarkStart w:id="9" w:name="_Toc72500204"/>
      <w:r>
        <w:rPr>
          <w:rFonts w:eastAsia="楷体_GB2312"/>
          <w:b/>
          <w:bCs w:val="0"/>
          <w:sz w:val="32"/>
          <w:szCs w:val="32"/>
        </w:rPr>
        <w:t>（</w:t>
      </w:r>
      <w:r>
        <w:rPr>
          <w:rFonts w:hint="eastAsia" w:eastAsia="楷体_GB2312"/>
          <w:b/>
          <w:bCs w:val="0"/>
          <w:sz w:val="32"/>
          <w:szCs w:val="32"/>
        </w:rPr>
        <w:t>二</w:t>
      </w:r>
      <w:r>
        <w:rPr>
          <w:rFonts w:eastAsia="楷体_GB2312"/>
          <w:b/>
          <w:bCs w:val="0"/>
          <w:sz w:val="32"/>
          <w:szCs w:val="32"/>
        </w:rPr>
        <w:t>）</w:t>
      </w:r>
      <w:r>
        <w:rPr>
          <w:rFonts w:hint="eastAsia" w:eastAsia="楷体_GB2312"/>
          <w:b/>
          <w:bCs w:val="0"/>
          <w:sz w:val="32"/>
          <w:szCs w:val="32"/>
        </w:rPr>
        <w:t>绩效分析</w:t>
      </w:r>
    </w:p>
    <w:p>
      <w:pPr>
        <w:snapToGrid w:val="0"/>
        <w:spacing w:line="500" w:lineRule="atLeast"/>
        <w:ind w:firstLine="643" w:firstLineChars="200"/>
        <w:rPr>
          <w:rFonts w:hint="eastAsia" w:ascii="仿宋_GB2312" w:eastAsia="仿宋_GB2312"/>
          <w:b/>
          <w:bCs/>
          <w:sz w:val="32"/>
          <w:szCs w:val="32"/>
        </w:rPr>
      </w:pPr>
      <w:r>
        <w:rPr>
          <w:rFonts w:hint="eastAsia" w:ascii="仿宋_GB2312" w:eastAsia="仿宋_GB2312"/>
          <w:b/>
          <w:bCs/>
          <w:sz w:val="32"/>
          <w:szCs w:val="32"/>
        </w:rPr>
        <w:t>1</w:t>
      </w:r>
      <w:r>
        <w:rPr>
          <w:rFonts w:ascii="仿宋_GB2312" w:eastAsia="仿宋_GB2312"/>
          <w:b/>
          <w:bCs/>
          <w:sz w:val="32"/>
          <w:szCs w:val="32"/>
        </w:rPr>
        <w:t>.</w:t>
      </w:r>
      <w:bookmarkEnd w:id="8"/>
      <w:bookmarkEnd w:id="9"/>
      <w:r>
        <w:rPr>
          <w:rFonts w:hint="eastAsia" w:ascii="仿宋_GB2312" w:eastAsia="仿宋_GB2312"/>
          <w:b/>
          <w:bCs/>
          <w:sz w:val="32"/>
          <w:szCs w:val="32"/>
        </w:rPr>
        <w:t>项目立项</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项目立项符合《浙江省农村实用人才队伍建设中长期规划</w:t>
      </w:r>
      <w:r>
        <w:rPr>
          <w:rFonts w:hint="eastAsia" w:ascii="仿宋_GB2312" w:eastAsia="仿宋_GB2312"/>
          <w:sz w:val="32"/>
          <w:szCs w:val="32"/>
          <w:lang w:eastAsia="zh-CN"/>
        </w:rPr>
        <w:t>（</w:t>
      </w:r>
      <w:r>
        <w:rPr>
          <w:rFonts w:hint="eastAsia" w:ascii="仿宋_GB2312" w:eastAsia="仿宋_GB2312"/>
          <w:sz w:val="32"/>
          <w:szCs w:val="32"/>
        </w:rPr>
        <w:t>2011—2020年</w:t>
      </w:r>
      <w:r>
        <w:rPr>
          <w:rFonts w:hint="eastAsia" w:ascii="仿宋_GB2312" w:eastAsia="仿宋_GB2312"/>
          <w:sz w:val="32"/>
          <w:szCs w:val="32"/>
          <w:lang w:eastAsia="zh-CN"/>
        </w:rPr>
        <w:t>）</w:t>
      </w:r>
      <w:r>
        <w:rPr>
          <w:rFonts w:hint="eastAsia" w:ascii="仿宋_GB2312" w:eastAsia="仿宋_GB2312"/>
          <w:sz w:val="32"/>
          <w:szCs w:val="32"/>
        </w:rPr>
        <w:t>》、《丽水市中长期人才发展规划纲要（2011-2020年）》、《丽水市农村实用人才队伍建设“十三五”规划》、《关于加强农村实用人才队伍建设助推乡村振兴的实施意见》等文件要求，符合部门的职责范围。项目立项前，主办单位和培训机构对培训内容会做一定程度的需求调查，专家会对培训需求进行论证，但是缺乏有效的需求调研机制。项目绩效目标与农民培训相符，但绩效目标只申报了丽水市级财政拨付100万元的预算绩效目标，省级资金覆盖的任务目标未考虑在内。绩效目标设置不够细化，除培训人次目标外，绩效目标设置未充分考虑培训计划完成情况、完成质量等指标，未充分考虑培训项目的经济效益和社会效益指标。</w:t>
      </w:r>
      <w:bookmarkStart w:id="10" w:name="_Toc72500206"/>
      <w:bookmarkStart w:id="11" w:name="_Toc74824860"/>
    </w:p>
    <w:p>
      <w:pPr>
        <w:snapToGrid w:val="0"/>
        <w:spacing w:line="500" w:lineRule="atLeast"/>
        <w:ind w:firstLine="643" w:firstLineChars="200"/>
        <w:rPr>
          <w:rFonts w:ascii="仿宋_GB2312" w:eastAsia="仿宋_GB2312"/>
          <w:b/>
          <w:bCs/>
          <w:sz w:val="32"/>
          <w:szCs w:val="32"/>
        </w:rPr>
      </w:pPr>
      <w:r>
        <w:rPr>
          <w:rFonts w:hint="eastAsia" w:ascii="仿宋_GB2312" w:eastAsia="仿宋_GB2312"/>
          <w:b/>
          <w:bCs/>
          <w:sz w:val="32"/>
          <w:szCs w:val="32"/>
        </w:rPr>
        <w:t>2</w:t>
      </w:r>
      <w:r>
        <w:rPr>
          <w:rFonts w:ascii="仿宋_GB2312" w:eastAsia="仿宋_GB2312"/>
          <w:b/>
          <w:bCs/>
          <w:sz w:val="32"/>
          <w:szCs w:val="32"/>
        </w:rPr>
        <w:t>.</w:t>
      </w:r>
      <w:r>
        <w:rPr>
          <w:rFonts w:hint="eastAsia" w:ascii="仿宋_GB2312" w:eastAsia="仿宋_GB2312"/>
          <w:b/>
          <w:bCs/>
          <w:sz w:val="32"/>
          <w:szCs w:val="32"/>
        </w:rPr>
        <w:t>项目</w:t>
      </w:r>
      <w:bookmarkEnd w:id="10"/>
      <w:bookmarkEnd w:id="11"/>
      <w:r>
        <w:rPr>
          <w:rFonts w:hint="eastAsia" w:ascii="仿宋_GB2312" w:eastAsia="仿宋_GB2312"/>
          <w:b/>
          <w:bCs/>
          <w:sz w:val="32"/>
          <w:szCs w:val="32"/>
        </w:rPr>
        <w:t>组织实施</w:t>
      </w:r>
    </w:p>
    <w:p>
      <w:pPr>
        <w:snapToGrid w:val="0"/>
        <w:spacing w:line="500" w:lineRule="atLeast"/>
        <w:ind w:firstLine="640" w:firstLineChars="200"/>
        <w:rPr>
          <w:rFonts w:hint="eastAsia" w:ascii="仿宋_GB2312" w:eastAsia="仿宋_GB2312"/>
          <w:b/>
          <w:bCs/>
          <w:sz w:val="32"/>
          <w:szCs w:val="32"/>
        </w:rPr>
      </w:pPr>
      <w:bookmarkStart w:id="12" w:name="_Toc74824861"/>
      <w:bookmarkStart w:id="13" w:name="_Toc72500207"/>
      <w:r>
        <w:rPr>
          <w:rFonts w:hint="eastAsia" w:ascii="仿宋_GB2312" w:eastAsia="仿宋_GB2312"/>
          <w:sz w:val="32"/>
          <w:szCs w:val="32"/>
        </w:rPr>
        <w:t>项目严格按照《丽水市农民培训项目管理实施细则（试行）》（丽农办〔2018〕11号）执行，但评价中发现项目管理实施细则不够完善，项目跟踪要求未进行细化，培训模式设置灵活性不足，参训人员资格审查不够到位，培训项目购买服务合规性不足，项目验收管理不够到位，培训效果跟踪机制缺失。</w:t>
      </w:r>
    </w:p>
    <w:p>
      <w:pPr>
        <w:snapToGrid w:val="0"/>
        <w:spacing w:line="500" w:lineRule="atLeast"/>
        <w:ind w:firstLine="643" w:firstLineChars="200"/>
        <w:rPr>
          <w:rFonts w:hint="eastAsia" w:ascii="仿宋_GB2312" w:eastAsia="仿宋_GB2312"/>
          <w:b/>
          <w:bCs/>
          <w:sz w:val="32"/>
          <w:szCs w:val="32"/>
        </w:rPr>
      </w:pPr>
      <w:r>
        <w:rPr>
          <w:rFonts w:hint="eastAsia" w:ascii="仿宋_GB2312" w:eastAsia="仿宋_GB2312"/>
          <w:b/>
          <w:bCs/>
          <w:sz w:val="32"/>
          <w:szCs w:val="32"/>
        </w:rPr>
        <w:t>3.项目产出</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项目整体完成质量较好，培训计划完成率较高，参训人员课程全部完成，项目验收全部完成，但还存在项目安排合理性不足，少数年度个别培训计划未按期完成的情况。</w:t>
      </w:r>
    </w:p>
    <w:p>
      <w:pPr>
        <w:snapToGrid w:val="0"/>
        <w:spacing w:line="500" w:lineRule="atLeast"/>
        <w:ind w:firstLine="643" w:firstLineChars="200"/>
        <w:rPr>
          <w:rFonts w:hint="eastAsia" w:ascii="仿宋_GB2312" w:eastAsia="仿宋_GB2312"/>
          <w:b/>
          <w:bCs/>
          <w:sz w:val="32"/>
          <w:szCs w:val="32"/>
        </w:rPr>
      </w:pPr>
      <w:r>
        <w:rPr>
          <w:rFonts w:hint="eastAsia" w:ascii="仿宋_GB2312" w:eastAsia="仿宋_GB2312"/>
          <w:b/>
          <w:bCs/>
          <w:sz w:val="32"/>
          <w:szCs w:val="32"/>
        </w:rPr>
        <w:t>4.</w:t>
      </w:r>
      <w:bookmarkEnd w:id="12"/>
      <w:bookmarkEnd w:id="13"/>
      <w:r>
        <w:rPr>
          <w:rFonts w:hint="eastAsia" w:ascii="仿宋_GB2312" w:eastAsia="仿宋_GB2312"/>
          <w:b/>
          <w:bCs/>
          <w:sz w:val="32"/>
          <w:szCs w:val="32"/>
        </w:rPr>
        <w:t>项目效益</w:t>
      </w:r>
    </w:p>
    <w:p>
      <w:pPr>
        <w:snapToGrid w:val="0"/>
        <w:spacing w:line="500" w:lineRule="atLeast"/>
        <w:ind w:firstLine="640" w:firstLineChars="200"/>
        <w:rPr>
          <w:rFonts w:hint="eastAsia" w:ascii="仿宋_GB2312" w:eastAsia="仿宋_GB2312"/>
          <w:sz w:val="32"/>
          <w:szCs w:val="32"/>
        </w:rPr>
      </w:pPr>
      <w:r>
        <w:rPr>
          <w:rFonts w:hint="eastAsia" w:ascii="仿宋_GB2312" w:eastAsia="仿宋_GB2312"/>
          <w:sz w:val="32"/>
          <w:szCs w:val="32"/>
        </w:rPr>
        <w:t>从经济效益方面来看，培训对参训人员的能力提升有一定促进作用，但对参训人员的增收效果缺乏有效跟踪，增收效果不显著。从社会效益方面来看，培训有利于丽水市实用性人才规模扩大，对参训人员就业有推动作用，有利于人才品牌的创建。但由于培训效益跟踪不到位，相关评价主要以评价组调研分析为主。</w:t>
      </w:r>
    </w:p>
    <w:p>
      <w:pPr>
        <w:snapToGrid w:val="0"/>
        <w:spacing w:line="500" w:lineRule="atLeast"/>
        <w:ind w:firstLine="643" w:firstLineChars="200"/>
        <w:rPr>
          <w:rFonts w:ascii="仿宋_GB2312" w:eastAsia="仿宋_GB2312"/>
          <w:b/>
          <w:bCs/>
          <w:sz w:val="32"/>
          <w:szCs w:val="32"/>
        </w:rPr>
      </w:pPr>
      <w:r>
        <w:rPr>
          <w:rFonts w:hint="eastAsia" w:ascii="仿宋_GB2312" w:eastAsia="仿宋_GB2312"/>
          <w:b/>
          <w:bCs/>
          <w:sz w:val="32"/>
          <w:szCs w:val="32"/>
        </w:rPr>
        <w:t>5.财务管理</w:t>
      </w:r>
    </w:p>
    <w:p>
      <w:pPr>
        <w:snapToGrid w:val="0"/>
        <w:spacing w:line="500" w:lineRule="atLeast"/>
        <w:ind w:firstLine="640" w:firstLineChars="200"/>
        <w:rPr>
          <w:rFonts w:hint="eastAsia" w:ascii="仿宋_GB2312" w:eastAsia="仿宋_GB2312"/>
          <w:b/>
          <w:bCs/>
          <w:sz w:val="32"/>
          <w:szCs w:val="32"/>
        </w:rPr>
      </w:pPr>
      <w:r>
        <w:rPr>
          <w:rFonts w:hint="eastAsia" w:ascii="仿宋_GB2312" w:eastAsia="仿宋_GB2312"/>
          <w:sz w:val="32"/>
          <w:szCs w:val="32"/>
        </w:rPr>
        <w:t>市农业农村局已制定财务管理制度，培训项目验收资料齐全，并对培训机构的台账及报账资料进行严格审核，项目预算资金执行率97.74%。但项目支出标准设置不够科学合理，预算申报主要依据上年度培训人次完成情况，未充分考虑农民培训项目的实际需求。</w:t>
      </w:r>
    </w:p>
    <w:p>
      <w:pPr>
        <w:snapToGrid w:val="0"/>
        <w:spacing w:line="500" w:lineRule="atLeast"/>
        <w:ind w:firstLine="643" w:firstLineChars="200"/>
        <w:rPr>
          <w:rFonts w:hint="eastAsia" w:ascii="仿宋_GB2312" w:eastAsia="仿宋_GB2312"/>
          <w:b/>
          <w:bCs/>
          <w:sz w:val="32"/>
          <w:szCs w:val="32"/>
        </w:rPr>
      </w:pPr>
      <w:r>
        <w:rPr>
          <w:rFonts w:hint="eastAsia" w:ascii="仿宋_GB2312" w:eastAsia="仿宋_GB2312"/>
          <w:b/>
          <w:bCs/>
          <w:sz w:val="32"/>
          <w:szCs w:val="32"/>
        </w:rPr>
        <w:t>6.项目满意度</w:t>
      </w:r>
    </w:p>
    <w:p>
      <w:pPr>
        <w:snapToGrid w:val="0"/>
        <w:spacing w:line="500" w:lineRule="atLeast"/>
        <w:ind w:firstLine="640" w:firstLineChars="200"/>
        <w:rPr>
          <w:rFonts w:hint="eastAsia" w:ascii="仿宋_GB2312" w:eastAsia="仿宋_GB2312"/>
          <w:b/>
          <w:bCs/>
          <w:color w:val="FF0000"/>
          <w:sz w:val="32"/>
          <w:szCs w:val="32"/>
        </w:rPr>
      </w:pPr>
      <w:r>
        <w:rPr>
          <w:rFonts w:hint="eastAsia" w:eastAsia="仿宋_GB2312"/>
          <w:sz w:val="32"/>
          <w:szCs w:val="32"/>
        </w:rPr>
        <w:t>参训人员对农民培训师资力量方面81.25%非常满意，16.25%比较满意，2.5%一般；对农民培训的课程内容方面73.75%非常满意，23.75%比较满意，2.5%一般；对农民培训的授课形式方面83.75%非常满意，15%比较满意，1.25%一般</w:t>
      </w:r>
      <w:r>
        <w:rPr>
          <w:rFonts w:hint="eastAsia" w:ascii="仿宋_GB2312" w:eastAsia="仿宋_GB2312"/>
          <w:sz w:val="32"/>
          <w:szCs w:val="32"/>
        </w:rPr>
        <w:t>。</w:t>
      </w:r>
    </w:p>
    <w:p>
      <w:pPr>
        <w:snapToGrid w:val="0"/>
        <w:spacing w:line="500" w:lineRule="atLeast"/>
        <w:ind w:firstLine="640" w:firstLineChars="200"/>
      </w:pPr>
      <w:r>
        <w:rPr>
          <w:rFonts w:eastAsia="仿宋_GB2312"/>
          <w:sz w:val="32"/>
          <w:szCs w:val="32"/>
        </w:rPr>
        <w:t>评价组</w:t>
      </w:r>
      <w:r>
        <w:rPr>
          <w:rFonts w:hint="eastAsia" w:eastAsia="仿宋_GB2312"/>
          <w:sz w:val="32"/>
          <w:szCs w:val="32"/>
        </w:rPr>
        <w:t>主要选取2019-2020年培训班开展</w:t>
      </w:r>
      <w:r>
        <w:rPr>
          <w:rFonts w:eastAsia="仿宋_GB2312"/>
          <w:sz w:val="32"/>
          <w:szCs w:val="32"/>
        </w:rPr>
        <w:t>问卷调查</w:t>
      </w:r>
      <w:r>
        <w:rPr>
          <w:rFonts w:hint="eastAsia" w:eastAsia="仿宋_GB2312"/>
          <w:sz w:val="32"/>
          <w:szCs w:val="32"/>
        </w:rPr>
        <w:t>预调研，根据预调研情况调整正式调查问卷</w:t>
      </w:r>
      <w:r>
        <w:rPr>
          <w:rFonts w:eastAsia="仿宋_GB2312"/>
          <w:sz w:val="32"/>
          <w:szCs w:val="32"/>
        </w:rPr>
        <w:t>，</w:t>
      </w:r>
      <w:r>
        <w:rPr>
          <w:rFonts w:hint="eastAsia" w:eastAsia="仿宋_GB2312"/>
          <w:sz w:val="32"/>
          <w:szCs w:val="32"/>
        </w:rPr>
        <w:t>最终收回预调研问卷51份，有效的正式调查问卷80份</w:t>
      </w:r>
      <w:r>
        <w:rPr>
          <w:rStyle w:val="8"/>
          <w:rFonts w:hint="eastAsia" w:eastAsia="仿宋_GB2312"/>
          <w:sz w:val="32"/>
          <w:szCs w:val="32"/>
        </w:rPr>
        <w:footnoteReference w:id="4"/>
      </w:r>
      <w:r>
        <w:rPr>
          <w:rFonts w:hint="eastAsia" w:eastAsia="仿宋_GB2312"/>
          <w:sz w:val="32"/>
          <w:szCs w:val="32"/>
        </w:rPr>
        <w:t>。根据问卷调查反馈，参训人员对培训后行业知识及自身技术的提升表示肯定，对农民培训实施较为满意。访谈中，部分参训人员表示课程实际可操作性不强，培训课程实际应用性不足。</w:t>
      </w:r>
    </w:p>
    <w:p>
      <w:pPr>
        <w:snapToGrid w:val="0"/>
        <w:spacing w:line="500" w:lineRule="atLeast"/>
        <w:ind w:firstLine="643" w:firstLineChars="200"/>
        <w:rPr>
          <w:rFonts w:hint="eastAsia" w:ascii="仿宋_GB2312" w:eastAsia="仿宋_GB2312"/>
          <w:b/>
          <w:bCs/>
          <w:sz w:val="32"/>
          <w:szCs w:val="32"/>
        </w:rPr>
      </w:pPr>
      <w:bookmarkStart w:id="14" w:name="_Toc74824865"/>
      <w:bookmarkStart w:id="15" w:name="_Toc72500211"/>
      <w:r>
        <w:rPr>
          <w:rFonts w:hint="eastAsia" w:ascii="仿宋_GB2312" w:eastAsia="仿宋_GB2312"/>
          <w:b/>
          <w:bCs/>
          <w:sz w:val="32"/>
          <w:szCs w:val="32"/>
          <w:lang w:val="en-US" w:eastAsia="zh-CN"/>
        </w:rPr>
        <w:t>7</w:t>
      </w:r>
      <w:r>
        <w:rPr>
          <w:rFonts w:hint="eastAsia" w:ascii="仿宋_GB2312" w:eastAsia="仿宋_GB2312"/>
          <w:b/>
          <w:bCs/>
          <w:sz w:val="32"/>
          <w:szCs w:val="32"/>
        </w:rPr>
        <w:t>.绩效评价结论</w:t>
      </w:r>
      <w:bookmarkEnd w:id="14"/>
      <w:bookmarkEnd w:id="15"/>
    </w:p>
    <w:p>
      <w:pPr>
        <w:pStyle w:val="2"/>
        <w:snapToGrid w:val="0"/>
        <w:spacing w:line="500" w:lineRule="atLeast"/>
        <w:ind w:left="0" w:firstLine="640" w:firstLineChars="200"/>
        <w:rPr>
          <w:rFonts w:eastAsia="仿宋_GB2312"/>
          <w:sz w:val="32"/>
          <w:szCs w:val="32"/>
        </w:rPr>
      </w:pPr>
      <w:bookmarkStart w:id="16" w:name="_Toc74824870"/>
      <w:bookmarkStart w:id="17" w:name="_Toc6709"/>
      <w:bookmarkStart w:id="18" w:name="_Toc72500216"/>
      <w:r>
        <w:rPr>
          <w:rFonts w:hint="eastAsia" w:eastAsia="仿宋_GB2312"/>
          <w:sz w:val="32"/>
          <w:szCs w:val="32"/>
        </w:rPr>
        <w:t>评价组依据《浙江省项目支出绩效评价管理办法》，从项目业务指标、财务指标、满意度展开评价，项目总分100分，等次划分为四档：90（含）-1</w:t>
      </w:r>
      <w:r>
        <w:rPr>
          <w:rFonts w:hint="eastAsia" w:eastAsia="仿宋_GB2312"/>
          <w:sz w:val="32"/>
          <w:szCs w:val="32"/>
          <w:lang w:val="en-US" w:eastAsia="zh-CN"/>
        </w:rPr>
        <w:t>00</w:t>
      </w:r>
      <w:r>
        <w:rPr>
          <w:rFonts w:hint="eastAsia" w:eastAsia="仿宋_GB2312"/>
          <w:sz w:val="32"/>
          <w:szCs w:val="32"/>
        </w:rPr>
        <w:t>分为优、80（含）-90分为良、60（含）-80分为中、60分以下为差。</w:t>
      </w:r>
    </w:p>
    <w:p>
      <w:pPr>
        <w:pStyle w:val="2"/>
        <w:snapToGrid w:val="0"/>
        <w:spacing w:line="500" w:lineRule="atLeast"/>
        <w:ind w:left="0" w:firstLine="640" w:firstLineChars="200"/>
        <w:rPr>
          <w:rFonts w:eastAsia="仿宋_GB2312"/>
          <w:b w:val="0"/>
          <w:bCs w:val="0"/>
          <w:sz w:val="32"/>
          <w:szCs w:val="32"/>
        </w:rPr>
      </w:pPr>
      <w:r>
        <w:rPr>
          <w:rFonts w:hint="eastAsia" w:eastAsia="仿宋_GB2312"/>
          <w:sz w:val="32"/>
          <w:szCs w:val="32"/>
        </w:rPr>
        <w:t>通过以上各评价标准的评价分析，本次评价</w:t>
      </w:r>
      <w:r>
        <w:rPr>
          <w:rFonts w:hint="eastAsia" w:eastAsia="仿宋_GB2312"/>
          <w:b w:val="0"/>
          <w:bCs w:val="0"/>
          <w:sz w:val="32"/>
          <w:szCs w:val="32"/>
        </w:rPr>
        <w:t>评分为86.18分，结果等级为“良”</w:t>
      </w:r>
      <w:r>
        <w:rPr>
          <w:rFonts w:hint="eastAsia" w:eastAsia="仿宋_GB2312"/>
          <w:sz w:val="32"/>
          <w:szCs w:val="32"/>
        </w:rPr>
        <w:t>，</w:t>
      </w:r>
      <w:r>
        <w:rPr>
          <w:rFonts w:hint="eastAsia" w:eastAsia="仿宋_GB2312"/>
          <w:b w:val="0"/>
          <w:bCs w:val="0"/>
          <w:sz w:val="32"/>
          <w:szCs w:val="32"/>
        </w:rPr>
        <w:t>评分情况详见表4，具体指标的评分结果详见附件1。</w:t>
      </w:r>
    </w:p>
    <w:p>
      <w:pPr>
        <w:adjustRightInd w:val="0"/>
        <w:snapToGrid w:val="0"/>
        <w:spacing w:line="500" w:lineRule="atLeast"/>
        <w:jc w:val="center"/>
        <w:rPr>
          <w:rFonts w:eastAsia="黑体"/>
          <w:sz w:val="28"/>
          <w:szCs w:val="28"/>
        </w:rPr>
      </w:pPr>
      <w:r>
        <w:rPr>
          <w:rFonts w:hint="eastAsia" w:eastAsia="黑体"/>
          <w:sz w:val="28"/>
          <w:szCs w:val="28"/>
        </w:rPr>
        <w:t>表4</w:t>
      </w:r>
      <w:r>
        <w:rPr>
          <w:rFonts w:eastAsia="黑体"/>
          <w:sz w:val="28"/>
          <w:szCs w:val="28"/>
        </w:rPr>
        <w:t>：项目评分汇总表</w:t>
      </w:r>
    </w:p>
    <w:tbl>
      <w:tblPr>
        <w:tblStyle w:val="6"/>
        <w:tblW w:w="587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27"/>
        <w:gridCol w:w="1807"/>
        <w:gridCol w:w="17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6" w:hRule="atLeast"/>
          <w:tblHeader/>
          <w:jc w:val="center"/>
        </w:trPr>
        <w:tc>
          <w:tcPr>
            <w:tcW w:w="2327" w:type="dxa"/>
            <w:shd w:val="clear" w:color="auto" w:fill="BEBEBE"/>
            <w:noWrap/>
            <w:vAlign w:val="center"/>
          </w:tcPr>
          <w:p>
            <w:pPr>
              <w:adjustRightInd w:val="0"/>
              <w:snapToGrid w:val="0"/>
              <w:jc w:val="center"/>
              <w:rPr>
                <w:b/>
                <w:sz w:val="22"/>
                <w:szCs w:val="22"/>
              </w:rPr>
            </w:pPr>
            <w:r>
              <w:rPr>
                <w:rFonts w:hint="eastAsia"/>
                <w:b/>
                <w:sz w:val="22"/>
                <w:szCs w:val="22"/>
              </w:rPr>
              <w:t>评价维度</w:t>
            </w:r>
          </w:p>
        </w:tc>
        <w:tc>
          <w:tcPr>
            <w:tcW w:w="1807" w:type="dxa"/>
            <w:shd w:val="clear" w:color="auto" w:fill="BEBEBE"/>
            <w:noWrap/>
            <w:vAlign w:val="center"/>
          </w:tcPr>
          <w:p>
            <w:pPr>
              <w:adjustRightInd w:val="0"/>
              <w:snapToGrid w:val="0"/>
              <w:jc w:val="center"/>
              <w:rPr>
                <w:b/>
                <w:sz w:val="22"/>
                <w:szCs w:val="22"/>
              </w:rPr>
            </w:pPr>
            <w:r>
              <w:rPr>
                <w:rFonts w:hint="eastAsia"/>
                <w:b/>
                <w:sz w:val="22"/>
                <w:szCs w:val="22"/>
              </w:rPr>
              <w:t>分值</w:t>
            </w:r>
          </w:p>
        </w:tc>
        <w:tc>
          <w:tcPr>
            <w:tcW w:w="1743" w:type="dxa"/>
            <w:shd w:val="clear" w:color="auto" w:fill="BEBEBE"/>
            <w:noWrap/>
            <w:vAlign w:val="center"/>
          </w:tcPr>
          <w:p>
            <w:pPr>
              <w:adjustRightInd w:val="0"/>
              <w:snapToGrid w:val="0"/>
              <w:jc w:val="center"/>
              <w:rPr>
                <w:b/>
                <w:sz w:val="22"/>
                <w:szCs w:val="22"/>
              </w:rPr>
            </w:pPr>
            <w:r>
              <w:rPr>
                <w:rFonts w:hint="eastAsia"/>
                <w:b/>
                <w:sz w:val="22"/>
                <w:szCs w:val="22"/>
              </w:rPr>
              <w:t>评价得分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6" w:hRule="atLeast"/>
          <w:jc w:val="center"/>
        </w:trPr>
        <w:tc>
          <w:tcPr>
            <w:tcW w:w="2327" w:type="dxa"/>
            <w:noWrap/>
            <w:vAlign w:val="center"/>
          </w:tcPr>
          <w:p>
            <w:pPr>
              <w:adjustRightInd w:val="0"/>
              <w:snapToGrid w:val="0"/>
              <w:jc w:val="center"/>
              <w:rPr>
                <w:b/>
                <w:sz w:val="22"/>
                <w:szCs w:val="22"/>
              </w:rPr>
            </w:pPr>
            <w:r>
              <w:rPr>
                <w:rFonts w:hint="eastAsia"/>
                <w:b/>
                <w:sz w:val="22"/>
                <w:szCs w:val="22"/>
              </w:rPr>
              <w:t>业务指标</w:t>
            </w:r>
          </w:p>
        </w:tc>
        <w:tc>
          <w:tcPr>
            <w:tcW w:w="1807" w:type="dxa"/>
            <w:noWrap/>
            <w:vAlign w:val="center"/>
          </w:tcPr>
          <w:p>
            <w:pPr>
              <w:adjustRightInd w:val="0"/>
              <w:snapToGrid w:val="0"/>
              <w:jc w:val="center"/>
              <w:rPr>
                <w:sz w:val="22"/>
                <w:szCs w:val="22"/>
              </w:rPr>
            </w:pPr>
            <w:r>
              <w:rPr>
                <w:rFonts w:hint="eastAsia"/>
                <w:sz w:val="22"/>
                <w:szCs w:val="22"/>
              </w:rPr>
              <w:t>70</w:t>
            </w:r>
          </w:p>
        </w:tc>
        <w:tc>
          <w:tcPr>
            <w:tcW w:w="1743" w:type="dxa"/>
            <w:noWrap/>
            <w:vAlign w:val="center"/>
          </w:tcPr>
          <w:p>
            <w:pPr>
              <w:adjustRightInd w:val="0"/>
              <w:snapToGrid w:val="0"/>
              <w:jc w:val="center"/>
              <w:rPr>
                <w:sz w:val="22"/>
                <w:szCs w:val="22"/>
              </w:rPr>
            </w:pPr>
            <w:r>
              <w:rPr>
                <w:rFonts w:hint="eastAsia"/>
                <w:sz w:val="22"/>
                <w:szCs w:val="22"/>
              </w:rPr>
              <w:t>59.87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6" w:hRule="atLeast"/>
          <w:jc w:val="center"/>
        </w:trPr>
        <w:tc>
          <w:tcPr>
            <w:tcW w:w="2327" w:type="dxa"/>
            <w:noWrap/>
            <w:vAlign w:val="center"/>
          </w:tcPr>
          <w:p>
            <w:pPr>
              <w:adjustRightInd w:val="0"/>
              <w:snapToGrid w:val="0"/>
              <w:jc w:val="center"/>
              <w:rPr>
                <w:b/>
                <w:sz w:val="22"/>
                <w:szCs w:val="22"/>
              </w:rPr>
            </w:pPr>
            <w:r>
              <w:rPr>
                <w:rFonts w:hint="eastAsia"/>
                <w:b/>
                <w:sz w:val="22"/>
                <w:szCs w:val="22"/>
              </w:rPr>
              <w:t>财务指标</w:t>
            </w:r>
          </w:p>
        </w:tc>
        <w:tc>
          <w:tcPr>
            <w:tcW w:w="1807" w:type="dxa"/>
            <w:noWrap/>
            <w:vAlign w:val="center"/>
          </w:tcPr>
          <w:p>
            <w:pPr>
              <w:adjustRightInd w:val="0"/>
              <w:snapToGrid w:val="0"/>
              <w:jc w:val="center"/>
              <w:rPr>
                <w:sz w:val="22"/>
                <w:szCs w:val="22"/>
              </w:rPr>
            </w:pPr>
            <w:r>
              <w:rPr>
                <w:rFonts w:hint="eastAsia"/>
                <w:sz w:val="22"/>
                <w:szCs w:val="22"/>
              </w:rPr>
              <w:t>15</w:t>
            </w:r>
          </w:p>
        </w:tc>
        <w:tc>
          <w:tcPr>
            <w:tcW w:w="1743" w:type="dxa"/>
            <w:noWrap/>
            <w:vAlign w:val="center"/>
          </w:tcPr>
          <w:p>
            <w:pPr>
              <w:adjustRightInd w:val="0"/>
              <w:snapToGrid w:val="0"/>
              <w:jc w:val="center"/>
              <w:rPr>
                <w:sz w:val="22"/>
                <w:szCs w:val="22"/>
              </w:rPr>
            </w:pPr>
            <w:r>
              <w:rPr>
                <w:rFonts w:hint="eastAsia"/>
                <w:sz w:val="22"/>
                <w:szCs w:val="22"/>
              </w:rPr>
              <w:t>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6" w:hRule="atLeast"/>
          <w:jc w:val="center"/>
        </w:trPr>
        <w:tc>
          <w:tcPr>
            <w:tcW w:w="2327" w:type="dxa"/>
            <w:noWrap/>
            <w:vAlign w:val="center"/>
          </w:tcPr>
          <w:p>
            <w:pPr>
              <w:adjustRightInd w:val="0"/>
              <w:snapToGrid w:val="0"/>
              <w:jc w:val="center"/>
              <w:rPr>
                <w:rFonts w:hint="eastAsia"/>
                <w:b/>
                <w:sz w:val="22"/>
                <w:szCs w:val="22"/>
              </w:rPr>
            </w:pPr>
            <w:r>
              <w:rPr>
                <w:rFonts w:hint="eastAsia"/>
                <w:b/>
                <w:sz w:val="22"/>
                <w:szCs w:val="22"/>
              </w:rPr>
              <w:t>满意度</w:t>
            </w:r>
          </w:p>
        </w:tc>
        <w:tc>
          <w:tcPr>
            <w:tcW w:w="1807" w:type="dxa"/>
            <w:noWrap/>
            <w:vAlign w:val="center"/>
          </w:tcPr>
          <w:p>
            <w:pPr>
              <w:adjustRightInd w:val="0"/>
              <w:snapToGrid w:val="0"/>
              <w:jc w:val="center"/>
              <w:rPr>
                <w:sz w:val="22"/>
                <w:szCs w:val="22"/>
              </w:rPr>
            </w:pPr>
            <w:r>
              <w:rPr>
                <w:rFonts w:hint="eastAsia"/>
                <w:sz w:val="22"/>
                <w:szCs w:val="22"/>
              </w:rPr>
              <w:t>15</w:t>
            </w:r>
          </w:p>
        </w:tc>
        <w:tc>
          <w:tcPr>
            <w:tcW w:w="1743" w:type="dxa"/>
            <w:noWrap/>
            <w:vAlign w:val="center"/>
          </w:tcPr>
          <w:p>
            <w:pPr>
              <w:adjustRightInd w:val="0"/>
              <w:snapToGrid w:val="0"/>
              <w:jc w:val="center"/>
              <w:rPr>
                <w:sz w:val="22"/>
                <w:szCs w:val="22"/>
              </w:rPr>
            </w:pPr>
            <w:r>
              <w:rPr>
                <w:rFonts w:hint="eastAsia"/>
                <w:sz w:val="22"/>
                <w:szCs w:val="22"/>
              </w:rPr>
              <w:t>14.31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 w:hRule="atLeast"/>
          <w:jc w:val="center"/>
        </w:trPr>
        <w:tc>
          <w:tcPr>
            <w:tcW w:w="2327" w:type="dxa"/>
            <w:noWrap/>
            <w:vAlign w:val="center"/>
          </w:tcPr>
          <w:p>
            <w:pPr>
              <w:adjustRightInd w:val="0"/>
              <w:snapToGrid w:val="0"/>
              <w:jc w:val="center"/>
              <w:rPr>
                <w:b/>
                <w:sz w:val="22"/>
                <w:szCs w:val="22"/>
              </w:rPr>
            </w:pPr>
            <w:r>
              <w:rPr>
                <w:rFonts w:hint="eastAsia"/>
                <w:b/>
                <w:sz w:val="22"/>
                <w:szCs w:val="22"/>
              </w:rPr>
              <w:t>实际得分合计</w:t>
            </w:r>
          </w:p>
        </w:tc>
        <w:tc>
          <w:tcPr>
            <w:tcW w:w="1807" w:type="dxa"/>
            <w:noWrap/>
            <w:vAlign w:val="center"/>
          </w:tcPr>
          <w:p>
            <w:pPr>
              <w:adjustRightInd w:val="0"/>
              <w:snapToGrid w:val="0"/>
              <w:jc w:val="center"/>
              <w:rPr>
                <w:b/>
                <w:bCs/>
                <w:sz w:val="22"/>
                <w:szCs w:val="22"/>
              </w:rPr>
            </w:pPr>
            <w:r>
              <w:rPr>
                <w:rFonts w:hint="eastAsia"/>
                <w:b/>
                <w:bCs/>
                <w:sz w:val="22"/>
                <w:szCs w:val="22"/>
              </w:rPr>
              <w:t>100</w:t>
            </w:r>
          </w:p>
        </w:tc>
        <w:tc>
          <w:tcPr>
            <w:tcW w:w="1743" w:type="dxa"/>
            <w:noWrap/>
            <w:vAlign w:val="center"/>
          </w:tcPr>
          <w:p>
            <w:pPr>
              <w:adjustRightInd w:val="0"/>
              <w:snapToGrid w:val="0"/>
              <w:jc w:val="center"/>
              <w:rPr>
                <w:b/>
                <w:bCs/>
                <w:sz w:val="22"/>
                <w:szCs w:val="22"/>
              </w:rPr>
            </w:pPr>
            <w:r>
              <w:rPr>
                <w:rFonts w:hint="eastAsia"/>
                <w:b/>
                <w:bCs/>
                <w:sz w:val="22"/>
                <w:szCs w:val="22"/>
              </w:rPr>
              <w:t>86.18</w:t>
            </w:r>
          </w:p>
        </w:tc>
      </w:tr>
    </w:tbl>
    <w:p>
      <w:pPr>
        <w:pStyle w:val="3"/>
        <w:snapToGrid w:val="0"/>
        <w:spacing w:before="0" w:after="0" w:line="500" w:lineRule="atLeast"/>
        <w:ind w:firstLine="640" w:firstLineChars="200"/>
        <w:rPr>
          <w:rFonts w:eastAsia="黑体"/>
          <w:b w:val="0"/>
          <w:sz w:val="32"/>
          <w:szCs w:val="32"/>
        </w:rPr>
      </w:pPr>
      <w:r>
        <w:rPr>
          <w:rFonts w:hint="eastAsia" w:eastAsia="黑体"/>
          <w:b w:val="0"/>
          <w:sz w:val="32"/>
          <w:szCs w:val="32"/>
        </w:rPr>
        <w:t>三、项目效益</w:t>
      </w:r>
    </w:p>
    <w:p>
      <w:p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（一）培训整体完成情况较好</w:t>
      </w:r>
    </w:p>
    <w:p>
      <w:pPr>
        <w:pStyle w:val="2"/>
        <w:snapToGrid w:val="0"/>
        <w:spacing w:line="500" w:lineRule="atLeast"/>
        <w:ind w:left="0" w:firstLine="643" w:firstLineChars="200"/>
        <w:rPr>
          <w:rFonts w:hint="eastAsia" w:ascii="仿宋_GB2312" w:hAnsi="Calibri" w:eastAsia="仿宋_GB2312"/>
          <w:b/>
          <w:bCs/>
          <w:color w:val="FF0000"/>
          <w:sz w:val="32"/>
          <w:szCs w:val="32"/>
        </w:rPr>
      </w:pPr>
      <w:r>
        <w:rPr>
          <w:rFonts w:hint="eastAsia" w:ascii="Calibri" w:hAnsi="Calibri" w:eastAsia="仿宋_GB2312"/>
          <w:b/>
          <w:sz w:val="32"/>
          <w:szCs w:val="32"/>
        </w:rPr>
        <w:t>1.2016</w:t>
      </w:r>
      <w:r>
        <w:rPr>
          <w:rFonts w:hint="eastAsia" w:ascii="Calibri" w:hAnsi="Calibri" w:eastAsia="仿宋_GB2312"/>
          <w:b/>
          <w:sz w:val="32"/>
          <w:szCs w:val="32"/>
          <w:lang w:val="en-US" w:eastAsia="zh-CN"/>
        </w:rPr>
        <w:t>-</w:t>
      </w:r>
      <w:r>
        <w:rPr>
          <w:rFonts w:hint="eastAsia" w:ascii="Calibri" w:hAnsi="Calibri" w:eastAsia="仿宋_GB2312"/>
          <w:b/>
          <w:sz w:val="32"/>
          <w:szCs w:val="32"/>
        </w:rPr>
        <w:t>2020年整体培训任务目标超额完成。</w:t>
      </w:r>
      <w:r>
        <w:rPr>
          <w:rFonts w:hint="eastAsia" w:ascii="仿宋_GB2312" w:hAnsi="Calibri" w:eastAsia="仿宋_GB2312"/>
          <w:sz w:val="32"/>
          <w:szCs w:val="32"/>
        </w:rPr>
        <w:t>从培训任务完成情况来看，2016-2020年市级共培训12241人次。除2019年度外，其余各年度均超额完成任务目标，2016-2020年实际培训合计人数达到目标任务数135.11%，具体培训目标完成情况详见表2。</w:t>
      </w:r>
    </w:p>
    <w:p>
      <w:pPr>
        <w:pStyle w:val="2"/>
        <w:snapToGrid w:val="0"/>
        <w:spacing w:line="500" w:lineRule="atLeast"/>
        <w:ind w:left="0" w:firstLine="643" w:firstLineChars="200"/>
        <w:rPr>
          <w:rFonts w:hint="eastAsia" w:ascii="仿宋_GB2312" w:hAnsi="Calibri" w:eastAsia="仿宋_GB2312"/>
          <w:b/>
          <w:bCs/>
          <w:color w:val="FF0000"/>
          <w:sz w:val="32"/>
          <w:szCs w:val="32"/>
        </w:rPr>
      </w:pPr>
      <w:r>
        <w:rPr>
          <w:rFonts w:hint="eastAsia" w:ascii="Calibri" w:hAnsi="Calibri" w:eastAsia="仿宋_GB2312"/>
          <w:b/>
          <w:sz w:val="32"/>
          <w:szCs w:val="32"/>
        </w:rPr>
        <w:t>2.培训项目较为丰富。</w:t>
      </w:r>
      <w:r>
        <w:rPr>
          <w:rFonts w:hint="eastAsia" w:ascii="Calibri" w:hAnsi="Calibri" w:eastAsia="仿宋_GB2312"/>
          <w:b w:val="0"/>
          <w:bCs/>
          <w:sz w:val="32"/>
          <w:szCs w:val="32"/>
        </w:rPr>
        <w:t>一是</w:t>
      </w:r>
      <w:r>
        <w:rPr>
          <w:rFonts w:hint="eastAsia" w:ascii="仿宋_GB2312" w:hAnsi="Calibri" w:eastAsia="仿宋_GB2312"/>
          <w:sz w:val="32"/>
          <w:szCs w:val="32"/>
        </w:rPr>
        <w:t>从培训项目内容来看。培训内容由各主办单位根据需求情况确定，市级主办单位包括市农业农村局、市妇联、团市委、市文广旅体局、市工商联、市供销社、市农投公司、茶文化研究会等单位，涵盖产业技术、营销技能、品牌运营、乡村治理等方面，培训内容较为丰富，基本契合培训方向要求，能满足各类型人才需求。</w:t>
      </w:r>
      <w:r>
        <w:rPr>
          <w:rFonts w:hint="eastAsia" w:ascii="仿宋_GB2312" w:hAnsi="Calibri" w:eastAsia="仿宋_GB2312"/>
          <w:b w:val="0"/>
          <w:bCs w:val="0"/>
          <w:sz w:val="32"/>
          <w:szCs w:val="32"/>
        </w:rPr>
        <w:t>二是</w:t>
      </w:r>
      <w:r>
        <w:rPr>
          <w:rFonts w:hint="eastAsia" w:ascii="仿宋_GB2312" w:hAnsi="Calibri" w:eastAsia="仿宋_GB2312"/>
          <w:sz w:val="32"/>
          <w:szCs w:val="32"/>
        </w:rPr>
        <w:t>从培训机构来看。承担市级培训项目的培训机构主要为丽水职业技术学院、丽水学院和丽水广播电视大学。2016-2017年培训机构只有丽水职业技术学院一家，2018年开始新增丽水学院和丽水广播电视大学，培训机构选择上更为多样。总体来看，培训项目主要由丽水职业技术学院承办为主，占全部培训班次的69.71%，各机构培训情况详见图4。</w:t>
      </w:r>
    </w:p>
    <w:p>
      <w:p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（二）人才培养有序推进</w:t>
      </w:r>
    </w:p>
    <w:p>
      <w:pPr>
        <w:pStyle w:val="2"/>
        <w:snapToGrid w:val="0"/>
        <w:spacing w:line="500" w:lineRule="atLeast"/>
        <w:ind w:left="0" w:leftChars="0" w:firstLine="643" w:firstLineChars="200"/>
        <w:rPr>
          <w:rFonts w:hint="eastAsia" w:ascii="仿宋_GB2312" w:hAnsi="黑体" w:eastAsia="仿宋_GB2312" w:cs="仿宋_GB2312"/>
          <w:sz w:val="32"/>
          <w:szCs w:val="32"/>
        </w:rPr>
      </w:pPr>
      <w:r>
        <w:rPr>
          <w:rFonts w:hint="eastAsia" w:ascii="Calibri" w:hAnsi="Calibri" w:eastAsia="仿宋_GB2312"/>
          <w:b/>
          <w:sz w:val="32"/>
          <w:szCs w:val="32"/>
        </w:rPr>
        <w:t>1.</w:t>
      </w:r>
      <w:r>
        <w:rPr>
          <w:rFonts w:hint="eastAsia"/>
        </w:rPr>
        <w:t xml:space="preserve"> </w:t>
      </w:r>
      <w:r>
        <w:rPr>
          <w:rFonts w:hint="eastAsia" w:ascii="Calibri" w:hAnsi="Calibri" w:eastAsia="仿宋_GB2312"/>
          <w:b/>
          <w:sz w:val="32"/>
          <w:szCs w:val="32"/>
        </w:rPr>
        <w:t>人才队伍稳步壮大。</w:t>
      </w:r>
      <w:r>
        <w:rPr>
          <w:rFonts w:hint="eastAsia" w:ascii="仿宋_GB2312" w:hAnsi="Calibri" w:eastAsia="仿宋_GB2312"/>
          <w:sz w:val="32"/>
          <w:szCs w:val="32"/>
        </w:rPr>
        <w:t>截至2020年底，丽水市农村实用人才总量达到9.47万人，人才队伍已基本形成五个“方面军”，即生产型人才、经营型人才、技能带动型人才、技能服务型人才、社会服务型人才。近年来，为适应现代农业发展新形势以及各地农业产业结构调整的需求，在各类人才培育的基础上，丽水市根据各地特色不断推进“丽水农师”的选拔工作，通过“丽水农师”带动一批农民转型升级为农村实用人才，形成富有层次、结构合理的农村实用人才队伍。截至2017年末，丽水市已累计评选出“丽水农师”300名，其中“丽水精英农师”30名。自2018年起，将“丽水农师”细分为“农作师、农商师、农匠师”三支队伍，至2020年末丽水市累计培育“农三师”1300名，</w:t>
      </w:r>
      <w:r>
        <w:rPr>
          <w:rFonts w:hint="eastAsia" w:ascii="仿宋_GB2312" w:hAnsi="黑体" w:eastAsia="仿宋_GB2312" w:cs="仿宋_GB2312"/>
          <w:sz w:val="32"/>
          <w:szCs w:val="32"/>
        </w:rPr>
        <w:t>“农三师”人才队伍初具规模。</w:t>
      </w:r>
    </w:p>
    <w:p>
      <w:pPr>
        <w:pStyle w:val="2"/>
        <w:snapToGrid w:val="0"/>
        <w:spacing w:line="500" w:lineRule="atLeast"/>
        <w:ind w:left="0" w:leftChars="0" w:firstLine="643" w:firstLineChars="200"/>
        <w:rPr>
          <w:rFonts w:hint="eastAsia" w:ascii="仿宋_GB2312" w:hAnsi="Calibri" w:eastAsia="仿宋_GB2312"/>
          <w:sz w:val="32"/>
          <w:szCs w:val="32"/>
        </w:rPr>
      </w:pPr>
      <w:r>
        <w:rPr>
          <w:rFonts w:hint="eastAsia" w:ascii="Calibri" w:hAnsi="Calibri" w:eastAsia="仿宋_GB2312"/>
          <w:b/>
          <w:sz w:val="32"/>
          <w:szCs w:val="32"/>
        </w:rPr>
        <w:t>2.</w:t>
      </w:r>
      <w:r>
        <w:rPr>
          <w:rFonts w:hint="eastAsia"/>
        </w:rPr>
        <w:t xml:space="preserve"> </w:t>
      </w:r>
      <w:r>
        <w:rPr>
          <w:rFonts w:hint="eastAsia" w:ascii="Calibri" w:hAnsi="Calibri" w:eastAsia="仿宋_GB2312"/>
          <w:b/>
          <w:sz w:val="32"/>
          <w:szCs w:val="32"/>
        </w:rPr>
        <w:t>人才品牌体系形成一定影响力。</w:t>
      </w:r>
      <w:r>
        <w:rPr>
          <w:rFonts w:hint="eastAsia" w:ascii="仿宋_GB2312" w:hAnsi="Calibri" w:eastAsia="仿宋_GB2312"/>
          <w:sz w:val="32"/>
          <w:szCs w:val="32"/>
        </w:rPr>
        <w:t>在“农三师”品牌打造上，立足本地特色乡村产业，完善“1+X”人才品牌体系。目前，已巩固提升“云和师傅”“缙云烧饼师傅”“松阳茶师”“廊桥艺人”“民宿管家”等21个知名品牌，创新培育“龙泉安仁鱼头师傅”“青田西餐师傅”等子品牌，先后培育民宿管家、乡土导游、电商人才等1.2万人次，逐步形成“农三师”品牌支撑体系，进一步提升丽水</w:t>
      </w:r>
      <w:r>
        <w:rPr>
          <w:rFonts w:hint="eastAsia" w:ascii="Calibri" w:hAnsi="Calibri" w:eastAsia="仿宋_GB2312"/>
          <w:bCs/>
          <w:sz w:val="32"/>
          <w:szCs w:val="32"/>
        </w:rPr>
        <w:t>农村实用人才</w:t>
      </w:r>
      <w:r>
        <w:rPr>
          <w:rFonts w:hint="eastAsia" w:ascii="仿宋_GB2312" w:hAnsi="Calibri" w:eastAsia="仿宋_GB2312"/>
          <w:sz w:val="32"/>
          <w:szCs w:val="32"/>
        </w:rPr>
        <w:t>品牌影响力。</w:t>
      </w:r>
    </w:p>
    <w:p>
      <w:p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（三）培训成果形成一定转化</w:t>
      </w:r>
    </w:p>
    <w:p>
      <w:pPr>
        <w:pStyle w:val="2"/>
        <w:snapToGrid w:val="0"/>
        <w:spacing w:line="500" w:lineRule="atLeast"/>
        <w:ind w:left="0" w:firstLine="643" w:firstLineChars="200"/>
        <w:rPr>
          <w:rFonts w:ascii="仿宋_GB2312" w:hAnsi="Calibri" w:eastAsia="仿宋_GB2312"/>
          <w:sz w:val="32"/>
          <w:szCs w:val="32"/>
        </w:rPr>
      </w:pPr>
      <w:r>
        <w:rPr>
          <w:rFonts w:hint="eastAsia" w:ascii="Calibri" w:hAnsi="Calibri" w:eastAsia="仿宋_GB2312"/>
          <w:b/>
          <w:sz w:val="32"/>
          <w:szCs w:val="32"/>
        </w:rPr>
        <w:t>1.农村实用人才对农村经济支撑作用进一步增强。</w:t>
      </w:r>
      <w:r>
        <w:rPr>
          <w:rFonts w:ascii="仿宋_GB2312" w:hAnsi="Calibri" w:eastAsia="仿宋_GB2312"/>
          <w:sz w:val="32"/>
          <w:szCs w:val="32"/>
        </w:rPr>
        <w:t>近年来，农村种植养殖大户、农民专业合作社负责人、农村经纪人数量均呈现大幅增长，在农业适用技术引进、推广、应用中</w:t>
      </w:r>
      <w:r>
        <w:rPr>
          <w:rFonts w:hint="eastAsia" w:ascii="仿宋_GB2312" w:hAnsi="Calibri" w:eastAsia="仿宋_GB2312"/>
          <w:sz w:val="32"/>
          <w:szCs w:val="32"/>
        </w:rPr>
        <w:t>均</w:t>
      </w:r>
      <w:r>
        <w:rPr>
          <w:rFonts w:ascii="仿宋_GB2312" w:hAnsi="Calibri" w:eastAsia="仿宋_GB2312"/>
          <w:sz w:val="32"/>
          <w:szCs w:val="32"/>
        </w:rPr>
        <w:t>发挥带头示范作用。从事非农产业经营的农村实用人才，不仅丰富了</w:t>
      </w:r>
      <w:r>
        <w:rPr>
          <w:rFonts w:hint="eastAsia" w:ascii="仿宋_GB2312" w:hAnsi="Calibri" w:eastAsia="仿宋_GB2312"/>
          <w:sz w:val="32"/>
          <w:szCs w:val="32"/>
        </w:rPr>
        <w:t>产业</w:t>
      </w:r>
      <w:r>
        <w:rPr>
          <w:rFonts w:ascii="仿宋_GB2312" w:hAnsi="Calibri" w:eastAsia="仿宋_GB2312"/>
          <w:sz w:val="32"/>
          <w:szCs w:val="32"/>
        </w:rPr>
        <w:t>类型，提升了产业高度，促进了当地经济发展，还</w:t>
      </w:r>
      <w:r>
        <w:rPr>
          <w:rFonts w:hint="eastAsia" w:ascii="仿宋_GB2312" w:hAnsi="Calibri" w:eastAsia="仿宋_GB2312"/>
          <w:sz w:val="32"/>
          <w:szCs w:val="32"/>
        </w:rPr>
        <w:t>为当地</w:t>
      </w:r>
      <w:r>
        <w:rPr>
          <w:rFonts w:ascii="仿宋_GB2312" w:hAnsi="Calibri" w:eastAsia="仿宋_GB2312"/>
          <w:sz w:val="32"/>
          <w:szCs w:val="32"/>
        </w:rPr>
        <w:t>提供了大量就业机会，为丽水农民增收作出重要贡献。丽水市农民增收连续12年位列全省第一，这些都与广大农村实用人才的辛勤奉献息息相关。</w:t>
      </w:r>
    </w:p>
    <w:p>
      <w:pPr>
        <w:pStyle w:val="2"/>
        <w:snapToGrid w:val="0"/>
        <w:spacing w:line="500" w:lineRule="atLeast"/>
        <w:ind w:left="0" w:firstLine="643" w:firstLineChars="200"/>
        <w:rPr>
          <w:rFonts w:ascii="仿宋_GB2312" w:hAnsi="Calibri" w:eastAsia="仿宋_GB2312"/>
          <w:sz w:val="32"/>
          <w:szCs w:val="32"/>
        </w:rPr>
      </w:pPr>
      <w:r>
        <w:rPr>
          <w:rFonts w:hint="eastAsia" w:ascii="Calibri" w:hAnsi="Calibri" w:eastAsia="仿宋_GB2312"/>
          <w:b/>
          <w:sz w:val="32"/>
          <w:szCs w:val="32"/>
        </w:rPr>
        <w:t>2.农村人才品牌助推经济发展。</w:t>
      </w:r>
      <w:r>
        <w:rPr>
          <w:rFonts w:hint="eastAsia" w:ascii="仿宋_GB2312" w:hAnsi="Calibri" w:eastAsia="仿宋_GB2312"/>
          <w:sz w:val="32"/>
          <w:szCs w:val="32"/>
        </w:rPr>
        <w:t>经过多年农村人才品牌培育，</w:t>
      </w:r>
      <w:r>
        <w:rPr>
          <w:rFonts w:ascii="仿宋_GB2312" w:hAnsi="Calibri" w:eastAsia="仿宋_GB2312"/>
          <w:sz w:val="32"/>
          <w:szCs w:val="32"/>
        </w:rPr>
        <w:t>各地</w:t>
      </w:r>
      <w:r>
        <w:rPr>
          <w:rFonts w:hint="eastAsia" w:ascii="仿宋_GB2312" w:hAnsi="Calibri" w:eastAsia="仿宋_GB2312"/>
          <w:sz w:val="32"/>
          <w:szCs w:val="32"/>
        </w:rPr>
        <w:t>“</w:t>
      </w:r>
      <w:r>
        <w:rPr>
          <w:rFonts w:ascii="仿宋_GB2312" w:hAnsi="Calibri" w:eastAsia="仿宋_GB2312"/>
          <w:sz w:val="32"/>
          <w:szCs w:val="32"/>
        </w:rPr>
        <w:t>丽水农师</w:t>
      </w:r>
      <w:r>
        <w:rPr>
          <w:rFonts w:hint="eastAsia" w:ascii="仿宋_GB2312" w:hAnsi="Calibri" w:eastAsia="仿宋_GB2312"/>
          <w:sz w:val="32"/>
          <w:szCs w:val="32"/>
        </w:rPr>
        <w:t>”</w:t>
      </w:r>
      <w:r>
        <w:rPr>
          <w:rFonts w:ascii="仿宋_GB2312" w:hAnsi="Calibri" w:eastAsia="仿宋_GB2312"/>
          <w:sz w:val="32"/>
          <w:szCs w:val="32"/>
        </w:rPr>
        <w:t>子品牌</w:t>
      </w:r>
      <w:r>
        <w:rPr>
          <w:rFonts w:hint="eastAsia" w:ascii="仿宋_GB2312" w:hAnsi="Calibri" w:eastAsia="仿宋_GB2312"/>
          <w:sz w:val="32"/>
          <w:szCs w:val="32"/>
        </w:rPr>
        <w:t>不断</w:t>
      </w:r>
      <w:r>
        <w:rPr>
          <w:rFonts w:ascii="仿宋_GB2312" w:hAnsi="Calibri" w:eastAsia="仿宋_GB2312"/>
          <w:sz w:val="32"/>
          <w:szCs w:val="32"/>
        </w:rPr>
        <w:t>发展壮大，</w:t>
      </w:r>
      <w:r>
        <w:rPr>
          <w:rFonts w:hint="eastAsia" w:ascii="仿宋_GB2312" w:hAnsi="Calibri" w:eastAsia="仿宋_GB2312"/>
          <w:sz w:val="32"/>
          <w:szCs w:val="32"/>
        </w:rPr>
        <w:t>不断发挥着积极作用。如</w:t>
      </w:r>
      <w:r>
        <w:rPr>
          <w:rFonts w:ascii="仿宋_GB2312" w:hAnsi="Calibri" w:eastAsia="仿宋_GB2312"/>
          <w:sz w:val="32"/>
          <w:szCs w:val="32"/>
        </w:rPr>
        <w:t>云和县将</w:t>
      </w:r>
      <w:r>
        <w:rPr>
          <w:rFonts w:hint="eastAsia" w:ascii="仿宋_GB2312" w:hAnsi="Calibri" w:eastAsia="仿宋_GB2312"/>
          <w:sz w:val="32"/>
          <w:szCs w:val="32"/>
        </w:rPr>
        <w:t>“</w:t>
      </w:r>
      <w:r>
        <w:rPr>
          <w:rFonts w:ascii="仿宋_GB2312" w:hAnsi="Calibri" w:eastAsia="仿宋_GB2312"/>
          <w:sz w:val="32"/>
          <w:szCs w:val="32"/>
        </w:rPr>
        <w:t>云和师傅</w:t>
      </w:r>
      <w:r>
        <w:rPr>
          <w:rFonts w:hint="eastAsia" w:ascii="仿宋_GB2312" w:hAnsi="Calibri" w:eastAsia="仿宋_GB2312"/>
          <w:sz w:val="32"/>
          <w:szCs w:val="32"/>
        </w:rPr>
        <w:t>”</w:t>
      </w:r>
      <w:r>
        <w:rPr>
          <w:rFonts w:ascii="仿宋_GB2312" w:hAnsi="Calibri" w:eastAsia="仿宋_GB2312"/>
          <w:sz w:val="32"/>
          <w:szCs w:val="32"/>
        </w:rPr>
        <w:t>的品牌效益延伸为全县农产品区域品牌，延长</w:t>
      </w:r>
      <w:r>
        <w:rPr>
          <w:rFonts w:hint="eastAsia" w:ascii="仿宋_GB2312" w:hAnsi="Calibri" w:eastAsia="仿宋_GB2312"/>
          <w:sz w:val="32"/>
          <w:szCs w:val="32"/>
        </w:rPr>
        <w:t>“</w:t>
      </w:r>
      <w:r>
        <w:rPr>
          <w:rFonts w:ascii="仿宋_GB2312" w:hAnsi="Calibri" w:eastAsia="仿宋_GB2312"/>
          <w:sz w:val="32"/>
          <w:szCs w:val="32"/>
        </w:rPr>
        <w:t>云和师傅</w:t>
      </w:r>
      <w:r>
        <w:rPr>
          <w:rFonts w:hint="eastAsia" w:ascii="仿宋_GB2312" w:hAnsi="Calibri" w:eastAsia="仿宋_GB2312"/>
          <w:sz w:val="32"/>
          <w:szCs w:val="32"/>
        </w:rPr>
        <w:t>”</w:t>
      </w:r>
      <w:r>
        <w:rPr>
          <w:rFonts w:ascii="仿宋_GB2312" w:hAnsi="Calibri" w:eastAsia="仿宋_GB2312"/>
          <w:sz w:val="32"/>
          <w:szCs w:val="32"/>
        </w:rPr>
        <w:t>的品牌产业链，遍布全国31个省市。缙云县</w:t>
      </w:r>
      <w:r>
        <w:rPr>
          <w:rFonts w:hint="eastAsia" w:ascii="仿宋_GB2312" w:hAnsi="Calibri" w:eastAsia="仿宋_GB2312"/>
          <w:sz w:val="32"/>
          <w:szCs w:val="32"/>
        </w:rPr>
        <w:t>“</w:t>
      </w:r>
      <w:r>
        <w:rPr>
          <w:rFonts w:ascii="仿宋_GB2312" w:hAnsi="Calibri" w:eastAsia="仿宋_GB2312"/>
          <w:sz w:val="32"/>
          <w:szCs w:val="32"/>
        </w:rPr>
        <w:t>烧饼师傅</w:t>
      </w:r>
      <w:r>
        <w:rPr>
          <w:rFonts w:hint="eastAsia" w:ascii="仿宋_GB2312" w:hAnsi="Calibri" w:eastAsia="仿宋_GB2312"/>
          <w:sz w:val="32"/>
          <w:szCs w:val="32"/>
        </w:rPr>
        <w:t>”</w:t>
      </w:r>
      <w:r>
        <w:rPr>
          <w:rFonts w:ascii="仿宋_GB2312" w:hAnsi="Calibri" w:eastAsia="仿宋_GB2312"/>
          <w:sz w:val="32"/>
          <w:szCs w:val="32"/>
        </w:rPr>
        <w:t>已在全国31个省开办7000多家示范店，并成功走</w:t>
      </w:r>
      <w:r>
        <w:rPr>
          <w:rFonts w:hint="eastAsia" w:ascii="仿宋_GB2312" w:hAnsi="Calibri" w:eastAsia="仿宋_GB2312"/>
          <w:sz w:val="32"/>
          <w:szCs w:val="32"/>
        </w:rPr>
        <w:t>进</w:t>
      </w:r>
      <w:r>
        <w:rPr>
          <w:rFonts w:ascii="仿宋_GB2312" w:hAnsi="Calibri" w:eastAsia="仿宋_GB2312"/>
          <w:sz w:val="32"/>
          <w:szCs w:val="32"/>
        </w:rPr>
        <w:t>16个国家。</w:t>
      </w:r>
      <w:r>
        <w:rPr>
          <w:rFonts w:hint="eastAsia" w:ascii="仿宋_GB2312" w:hAnsi="Calibri" w:eastAsia="仿宋_GB2312"/>
          <w:sz w:val="32"/>
          <w:szCs w:val="32"/>
        </w:rPr>
        <w:t>同时，</w:t>
      </w:r>
      <w:r>
        <w:rPr>
          <w:rFonts w:ascii="仿宋_GB2312" w:hAnsi="Calibri" w:eastAsia="仿宋_GB2312"/>
          <w:sz w:val="32"/>
          <w:szCs w:val="32"/>
        </w:rPr>
        <w:t>注重发挥高级农三师酵母作用，</w:t>
      </w:r>
      <w:r>
        <w:rPr>
          <w:rFonts w:hint="eastAsia" w:ascii="仿宋_GB2312" w:hAnsi="Calibri" w:eastAsia="仿宋_GB2312"/>
          <w:sz w:val="32"/>
          <w:szCs w:val="32"/>
        </w:rPr>
        <w:t>通过</w:t>
      </w:r>
      <w:r>
        <w:rPr>
          <w:rFonts w:ascii="仿宋_GB2312" w:hAnsi="Calibri" w:eastAsia="仿宋_GB2312"/>
          <w:sz w:val="32"/>
          <w:szCs w:val="32"/>
        </w:rPr>
        <w:t>组团服务、抱团攻坚，</w:t>
      </w:r>
      <w:r>
        <w:rPr>
          <w:rFonts w:hint="eastAsia" w:ascii="仿宋_GB2312" w:hAnsi="Calibri" w:eastAsia="仿宋_GB2312"/>
          <w:sz w:val="32"/>
          <w:szCs w:val="32"/>
        </w:rPr>
        <w:t>不断</w:t>
      </w:r>
      <w:r>
        <w:rPr>
          <w:rFonts w:ascii="仿宋_GB2312" w:hAnsi="Calibri" w:eastAsia="仿宋_GB2312"/>
          <w:sz w:val="32"/>
          <w:szCs w:val="32"/>
        </w:rPr>
        <w:t>提升</w:t>
      </w:r>
      <w:r>
        <w:rPr>
          <w:rFonts w:hint="eastAsia" w:ascii="仿宋_GB2312" w:hAnsi="Calibri" w:eastAsia="仿宋_GB2312"/>
          <w:sz w:val="32"/>
          <w:szCs w:val="32"/>
        </w:rPr>
        <w:t>丽水各农业</w:t>
      </w:r>
      <w:r>
        <w:rPr>
          <w:rFonts w:ascii="仿宋_GB2312" w:hAnsi="Calibri" w:eastAsia="仿宋_GB2312"/>
          <w:sz w:val="32"/>
          <w:szCs w:val="32"/>
        </w:rPr>
        <w:t>产业的整体竞争力。</w:t>
      </w:r>
    </w:p>
    <w:p>
      <w:pPr>
        <w:pStyle w:val="3"/>
        <w:snapToGrid w:val="0"/>
        <w:spacing w:before="0" w:after="0" w:line="500" w:lineRule="atLeast"/>
        <w:ind w:firstLine="640" w:firstLineChars="200"/>
        <w:rPr>
          <w:rFonts w:hint="default" w:ascii="Times New Roman" w:hAnsi="Times New Roman" w:eastAsia="黑体" w:cs="Times New Roman"/>
          <w:b/>
          <w:sz w:val="32"/>
          <w:szCs w:val="32"/>
        </w:rPr>
      </w:pPr>
      <w:r>
        <w:rPr>
          <w:rFonts w:hint="default" w:ascii="Times New Roman" w:hAnsi="Times New Roman" w:eastAsia="黑体" w:cs="Times New Roman"/>
          <w:b w:val="0"/>
          <w:bCs w:val="0"/>
          <w:sz w:val="32"/>
          <w:szCs w:val="32"/>
        </w:rPr>
        <w:t>四、主要问题分析</w:t>
      </w:r>
    </w:p>
    <w:p>
      <w:pPr>
        <w:pStyle w:val="4"/>
        <w:keepNext w:val="0"/>
        <w:keepLines w:val="0"/>
        <w:adjustRightInd w:val="0"/>
        <w:snapToGrid w:val="0"/>
        <w:spacing w:before="0" w:after="0" w:line="500" w:lineRule="atLeast"/>
        <w:ind w:firstLine="643" w:firstLineChars="200"/>
        <w:rPr>
          <w:rFonts w:hint="eastAsia" w:ascii="楷体_GB2312" w:hAnsi="楷体_GB2312" w:eastAsia="楷体_GB2312" w:cs="楷体_GB2312"/>
          <w:b/>
          <w:bCs/>
        </w:rPr>
      </w:pPr>
      <w:r>
        <w:rPr>
          <w:rFonts w:hint="eastAsia" w:ascii="楷体_GB2312" w:hAnsi="楷体_GB2312" w:eastAsia="楷体_GB2312" w:cs="楷体_GB2312"/>
          <w:b/>
          <w:bCs/>
        </w:rPr>
        <w:t>（一）培训项目安排</w:t>
      </w:r>
      <w:r>
        <w:rPr>
          <w:rFonts w:hint="eastAsia" w:ascii="楷体_GB2312" w:hAnsi="楷体_GB2312" w:eastAsia="楷体_GB2312" w:cs="楷体_GB2312"/>
          <w:b/>
          <w:bCs/>
          <w:lang w:val="en-US" w:eastAsia="zh-CN"/>
        </w:rPr>
        <w:t>合理性仍有不足</w:t>
      </w:r>
    </w:p>
    <w:p>
      <w:pPr>
        <w:pStyle w:val="2"/>
        <w:snapToGrid w:val="0"/>
        <w:spacing w:line="500" w:lineRule="atLeast"/>
        <w:ind w:left="0" w:firstLine="640" w:firstLineChars="200"/>
        <w:rPr>
          <w:rFonts w:hint="eastAsia" w:ascii="Times New Roman" w:hAnsi="Times New Roman" w:eastAsia="仿宋_GB2312"/>
          <w:sz w:val="32"/>
          <w:szCs w:val="32"/>
        </w:rPr>
      </w:pPr>
      <w:r>
        <w:rPr>
          <w:rFonts w:hint="eastAsia" w:ascii="仿宋_GB2312" w:hAnsi="Calibri" w:eastAsia="仿宋_GB2312"/>
          <w:sz w:val="32"/>
          <w:szCs w:val="32"/>
        </w:rPr>
        <w:t>根</w:t>
      </w:r>
      <w:r>
        <w:rPr>
          <w:rFonts w:hint="eastAsia" w:ascii="Times New Roman" w:hAnsi="Times New Roman" w:eastAsia="仿宋_GB2312"/>
          <w:sz w:val="32"/>
          <w:szCs w:val="32"/>
        </w:rPr>
        <w:t>据2016年第三次农业</w:t>
      </w:r>
      <w:r>
        <w:rPr>
          <w:rFonts w:hint="eastAsia" w:ascii="仿宋_GB2312" w:hAnsi="Calibri" w:eastAsia="仿宋_GB2312"/>
          <w:sz w:val="32"/>
          <w:szCs w:val="32"/>
        </w:rPr>
        <w:t>普查情况分析，丽水市农村实用人才主要集中在生产型人才和经营</w:t>
      </w:r>
      <w:r>
        <w:rPr>
          <w:rFonts w:hint="eastAsia" w:ascii="Times New Roman" w:hAnsi="Times New Roman" w:eastAsia="仿宋_GB2312"/>
          <w:sz w:val="32"/>
          <w:szCs w:val="32"/>
        </w:rPr>
        <w:t>型人才，分别占到37.8%（4.2万人）、20.5%（2.28万人），技能带动型人才、社会服务型人才相对较少，</w:t>
      </w:r>
      <w:r>
        <w:rPr>
          <w:rFonts w:hint="eastAsia" w:ascii="仿宋_GB2312" w:hAnsi="Calibri" w:eastAsia="仿宋_GB2312"/>
          <w:sz w:val="32"/>
          <w:szCs w:val="32"/>
        </w:rPr>
        <w:t>而技能</w:t>
      </w:r>
      <w:r>
        <w:rPr>
          <w:rFonts w:hint="eastAsia" w:ascii="仿宋_GB2312" w:hAnsi="Calibri" w:eastAsia="仿宋_GB2312"/>
          <w:sz w:val="32"/>
          <w:szCs w:val="32"/>
          <w:lang w:eastAsia="zh-CN"/>
        </w:rPr>
        <w:t>服务型</w:t>
      </w:r>
      <w:r>
        <w:rPr>
          <w:rFonts w:hint="eastAsia" w:ascii="仿宋_GB2312" w:hAnsi="Calibri" w:eastAsia="仿宋_GB2312"/>
          <w:sz w:val="32"/>
          <w:szCs w:val="32"/>
        </w:rPr>
        <w:t>人才更加匮乏，仅占1.59%（1774人）。根据2016-2020年全市农村实用人才培训人次统计表显示，生产型和经营型人才合计培训3.16万人次，占培训总人数的49.12%，仍占据绝大部分；技能服务型培训人次占比仅8.99%，培训人次占比仍然</w:t>
      </w:r>
      <w:r>
        <w:rPr>
          <w:rFonts w:hint="eastAsia" w:ascii="Times New Roman" w:hAnsi="Times New Roman" w:eastAsia="仿宋_GB2312"/>
          <w:sz w:val="32"/>
          <w:szCs w:val="32"/>
        </w:rPr>
        <w:t>较低。随着农村经济的发展和新农村建设的推进，农村治理的要求在加强，农村社会治理类人才需求在不断扩大，但与其他四类产业型人才培训相比，社会服务型培训人次占比22.73%，整体占比仍然偏低。具体培训人次数据详见表</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w:t>
      </w:r>
    </w:p>
    <w:p>
      <w:pPr>
        <w:pStyle w:val="2"/>
        <w:snapToGrid w:val="0"/>
        <w:spacing w:line="500" w:lineRule="atLeast"/>
        <w:ind w:left="0"/>
        <w:jc w:val="center"/>
        <w:rPr>
          <w:rFonts w:ascii="Times New Roman" w:hAnsi="Times New Roman" w:eastAsia="黑体"/>
          <w:sz w:val="28"/>
          <w:szCs w:val="28"/>
        </w:rPr>
      </w:pPr>
      <w:bookmarkStart w:id="19" w:name="_Hlk43066950"/>
      <w:r>
        <w:rPr>
          <w:rFonts w:ascii="Times New Roman" w:hAnsi="Times New Roman" w:eastAsia="黑体"/>
          <w:sz w:val="28"/>
          <w:szCs w:val="28"/>
        </w:rPr>
        <w:t>表</w:t>
      </w:r>
      <w:r>
        <w:rPr>
          <w:rFonts w:hint="eastAsia" w:ascii="Times New Roman" w:hAnsi="Times New Roman" w:eastAsia="黑体"/>
          <w:sz w:val="28"/>
          <w:szCs w:val="28"/>
          <w:lang w:val="en-US" w:eastAsia="zh-CN"/>
        </w:rPr>
        <w:t>5</w:t>
      </w:r>
      <w:r>
        <w:rPr>
          <w:rFonts w:eastAsia="黑体"/>
          <w:sz w:val="28"/>
          <w:szCs w:val="28"/>
        </w:rPr>
        <w:t>：</w:t>
      </w:r>
      <w:r>
        <w:rPr>
          <w:rFonts w:hint="eastAsia" w:ascii="Times New Roman" w:hAnsi="Times New Roman" w:eastAsia="黑体"/>
          <w:sz w:val="28"/>
          <w:szCs w:val="28"/>
        </w:rPr>
        <w:t>丽水全市农村实用人才培训人次</w:t>
      </w:r>
      <w:r>
        <w:rPr>
          <w:rFonts w:ascii="Times New Roman" w:hAnsi="Times New Roman" w:eastAsia="黑体"/>
          <w:sz w:val="28"/>
          <w:szCs w:val="28"/>
        </w:rPr>
        <w:t>情况表</w:t>
      </w:r>
      <w:bookmarkEnd w:id="19"/>
    </w:p>
    <w:p>
      <w:pPr>
        <w:pStyle w:val="2"/>
        <w:snapToGrid w:val="0"/>
        <w:spacing w:line="500" w:lineRule="atLeast"/>
        <w:ind w:left="0"/>
        <w:jc w:val="right"/>
      </w:pPr>
      <w:r>
        <w:rPr>
          <w:rFonts w:ascii="Times New Roman" w:hAnsi="Times New Roman"/>
          <w:sz w:val="24"/>
          <w:szCs w:val="24"/>
        </w:rPr>
        <w:t>单位：</w:t>
      </w:r>
      <w:r>
        <w:rPr>
          <w:rFonts w:hint="eastAsia" w:ascii="Times New Roman" w:hAnsi="Times New Roman"/>
          <w:sz w:val="24"/>
          <w:szCs w:val="24"/>
        </w:rPr>
        <w:t>人</w:t>
      </w:r>
    </w:p>
    <w:tbl>
      <w:tblPr>
        <w:tblStyle w:val="6"/>
        <w:tblW w:w="5089" w:type="pct"/>
        <w:tblInd w:w="-15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944"/>
        <w:gridCol w:w="1135"/>
        <w:gridCol w:w="1317"/>
        <w:gridCol w:w="1319"/>
        <w:gridCol w:w="1319"/>
        <w:gridCol w:w="1320"/>
        <w:gridCol w:w="132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blHeader/>
        </w:trPr>
        <w:tc>
          <w:tcPr>
            <w:tcW w:w="544"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年份</w:t>
            </w:r>
          </w:p>
        </w:tc>
        <w:tc>
          <w:tcPr>
            <w:tcW w:w="654"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合计</w:t>
            </w:r>
          </w:p>
        </w:tc>
        <w:tc>
          <w:tcPr>
            <w:tcW w:w="759"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生产型</w:t>
            </w:r>
          </w:p>
        </w:tc>
        <w:tc>
          <w:tcPr>
            <w:tcW w:w="760"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经营型</w:t>
            </w:r>
          </w:p>
        </w:tc>
        <w:tc>
          <w:tcPr>
            <w:tcW w:w="760"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技能服务型</w:t>
            </w:r>
          </w:p>
        </w:tc>
        <w:tc>
          <w:tcPr>
            <w:tcW w:w="760"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社会服务型</w:t>
            </w:r>
          </w:p>
        </w:tc>
        <w:tc>
          <w:tcPr>
            <w:tcW w:w="760" w:type="pct"/>
            <w:shd w:val="clear" w:color="auto" w:fill="D7D7D7"/>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技能带动型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2016</w:t>
            </w:r>
          </w:p>
        </w:tc>
        <w:tc>
          <w:tcPr>
            <w:tcW w:w="65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14760</w:t>
            </w:r>
          </w:p>
        </w:tc>
        <w:tc>
          <w:tcPr>
            <w:tcW w:w="759"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2694</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4658</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1481</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3393</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2534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2017</w:t>
            </w:r>
          </w:p>
        </w:tc>
        <w:tc>
          <w:tcPr>
            <w:tcW w:w="65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12069</w:t>
            </w:r>
          </w:p>
        </w:tc>
        <w:tc>
          <w:tcPr>
            <w:tcW w:w="759"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1480</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3151</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1235</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3778</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2425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2018</w:t>
            </w:r>
          </w:p>
        </w:tc>
        <w:tc>
          <w:tcPr>
            <w:tcW w:w="65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14298</w:t>
            </w:r>
          </w:p>
        </w:tc>
        <w:tc>
          <w:tcPr>
            <w:tcW w:w="759"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3587</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4264</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1321</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3138</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1988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2019</w:t>
            </w:r>
          </w:p>
        </w:tc>
        <w:tc>
          <w:tcPr>
            <w:tcW w:w="65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13853</w:t>
            </w:r>
          </w:p>
        </w:tc>
        <w:tc>
          <w:tcPr>
            <w:tcW w:w="759"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4311</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3348</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1003</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2472</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2719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2020</w:t>
            </w:r>
          </w:p>
        </w:tc>
        <w:tc>
          <w:tcPr>
            <w:tcW w:w="654"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8576</w:t>
            </w:r>
          </w:p>
        </w:tc>
        <w:tc>
          <w:tcPr>
            <w:tcW w:w="759"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1576</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2526</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671</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1664</w:t>
            </w:r>
          </w:p>
        </w:tc>
        <w:tc>
          <w:tcPr>
            <w:tcW w:w="760" w:type="pct"/>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2139</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总计</w:t>
            </w:r>
          </w:p>
        </w:tc>
        <w:tc>
          <w:tcPr>
            <w:tcW w:w="654"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63556</w:t>
            </w:r>
          </w:p>
        </w:tc>
        <w:tc>
          <w:tcPr>
            <w:tcW w:w="759"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13648</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17947</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5711</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14445</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11805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 w:hRule="atLeast"/>
        </w:trPr>
        <w:tc>
          <w:tcPr>
            <w:tcW w:w="544"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占比</w:t>
            </w:r>
          </w:p>
        </w:tc>
        <w:tc>
          <w:tcPr>
            <w:tcW w:w="654"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100.00%</w:t>
            </w:r>
          </w:p>
        </w:tc>
        <w:tc>
          <w:tcPr>
            <w:tcW w:w="759"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21.47%</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28.24%</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8.99%</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22.73%</w:t>
            </w:r>
          </w:p>
        </w:tc>
        <w:tc>
          <w:tcPr>
            <w:tcW w:w="760" w:type="pct"/>
            <w:noWrap/>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18.57%</w:t>
            </w:r>
          </w:p>
        </w:tc>
      </w:tr>
    </w:tbl>
    <w:p>
      <w:pPr>
        <w:pStyle w:val="4"/>
        <w:keepNext w:val="0"/>
        <w:keepLines w:val="0"/>
        <w:adjustRightInd w:val="0"/>
        <w:snapToGrid w:val="0"/>
        <w:spacing w:before="0" w:after="0" w:line="500" w:lineRule="atLeast"/>
        <w:ind w:firstLine="643" w:firstLineChars="200"/>
        <w:rPr>
          <w:rFonts w:hint="eastAsia" w:ascii="楷体_GB2312" w:hAnsi="楷体_GB2312" w:eastAsia="楷体_GB2312" w:cs="楷体_GB2312"/>
          <w:b/>
          <w:bCs/>
        </w:rPr>
      </w:pPr>
      <w:r>
        <w:rPr>
          <w:rFonts w:hint="eastAsia" w:ascii="楷体_GB2312" w:hAnsi="楷体_GB2312" w:eastAsia="楷体_GB2312" w:cs="楷体_GB2312"/>
          <w:b/>
          <w:bCs/>
        </w:rPr>
        <w:t>（二）培训组织实施不够完善</w:t>
      </w:r>
    </w:p>
    <w:p>
      <w:pPr>
        <w:pStyle w:val="2"/>
        <w:snapToGrid w:val="0"/>
        <w:spacing w:line="500" w:lineRule="atLeast"/>
        <w:ind w:left="0" w:firstLine="643" w:firstLineChars="200"/>
        <w:rPr>
          <w:rFonts w:hint="eastAsia" w:ascii="仿宋_GB2312" w:hAnsi="Calibri" w:eastAsia="仿宋_GB2312"/>
          <w:sz w:val="32"/>
          <w:szCs w:val="32"/>
        </w:rPr>
      </w:pPr>
      <w:r>
        <w:rPr>
          <w:rFonts w:hint="eastAsia" w:ascii="仿宋_GB2312" w:hAnsi="Calibri" w:eastAsia="仿宋_GB2312" w:cs="Times New Roman"/>
          <w:b/>
          <w:bCs/>
          <w:sz w:val="32"/>
          <w:szCs w:val="32"/>
        </w:rPr>
        <w:t>1.部分培训计划未完成。</w:t>
      </w:r>
      <w:r>
        <w:rPr>
          <w:rFonts w:hint="eastAsia" w:ascii="仿宋_GB2312" w:hAnsi="Calibri" w:eastAsia="仿宋_GB2312"/>
          <w:sz w:val="32"/>
          <w:szCs w:val="32"/>
        </w:rPr>
        <w:t>2016-2020年市级原计划开办培训班268个，新增计划外培训班8个，实际开办培训班258个，完成率93.28%。评价中，发现部分培训班计划开班2次，而实际是合并为1次开班，参训人数按2个班级规模招生；部分培训班因参训人数不足，缩减班次合并开班；部分培训班未开班，由计划外的培训班替换；部分培训班未按计划在当年度开班，延至下一个年度。具体培训班开办情况详见表</w:t>
      </w:r>
      <w:r>
        <w:rPr>
          <w:rFonts w:hint="eastAsia" w:ascii="仿宋_GB2312" w:hAnsi="Calibri" w:eastAsia="仿宋_GB2312"/>
          <w:sz w:val="32"/>
          <w:szCs w:val="32"/>
          <w:lang w:val="en-US" w:eastAsia="zh-CN"/>
        </w:rPr>
        <w:t>6</w:t>
      </w:r>
      <w:r>
        <w:rPr>
          <w:rFonts w:hint="eastAsia" w:ascii="仿宋_GB2312" w:hAnsi="Calibri" w:eastAsia="仿宋_GB2312"/>
          <w:sz w:val="32"/>
          <w:szCs w:val="32"/>
        </w:rPr>
        <w:t>。</w:t>
      </w:r>
    </w:p>
    <w:p>
      <w:pPr>
        <w:pStyle w:val="2"/>
        <w:snapToGrid w:val="0"/>
        <w:spacing w:line="500" w:lineRule="atLeast"/>
        <w:ind w:left="0"/>
        <w:jc w:val="center"/>
        <w:rPr>
          <w:rFonts w:ascii="Times New Roman" w:hAnsi="Times New Roman" w:eastAsia="黑体" w:cs="Times New Roman"/>
          <w:sz w:val="28"/>
          <w:szCs w:val="28"/>
        </w:rPr>
      </w:pPr>
      <w:r>
        <w:rPr>
          <w:rFonts w:ascii="Times New Roman" w:hAnsi="Times New Roman" w:eastAsia="黑体" w:cs="Times New Roman"/>
          <w:sz w:val="28"/>
          <w:szCs w:val="28"/>
        </w:rPr>
        <w:t>表</w:t>
      </w:r>
      <w:r>
        <w:rPr>
          <w:rFonts w:hint="eastAsia" w:ascii="Times New Roman" w:hAnsi="Times New Roman" w:eastAsia="黑体" w:cs="Times New Roman"/>
          <w:sz w:val="28"/>
          <w:szCs w:val="28"/>
          <w:lang w:val="en-US" w:eastAsia="zh-CN"/>
        </w:rPr>
        <w:t>6</w:t>
      </w:r>
      <w:r>
        <w:rPr>
          <w:rFonts w:ascii="Times New Roman" w:hAnsi="Times New Roman" w:eastAsia="黑体" w:cs="Times New Roman"/>
          <w:sz w:val="28"/>
          <w:szCs w:val="28"/>
        </w:rPr>
        <w:t>：</w:t>
      </w:r>
      <w:r>
        <w:rPr>
          <w:rFonts w:hint="eastAsia" w:ascii="Times New Roman" w:hAnsi="Times New Roman" w:eastAsia="黑体" w:cs="Times New Roman"/>
          <w:sz w:val="28"/>
          <w:szCs w:val="28"/>
        </w:rPr>
        <w:t>2016-2020年度培训班开办</w:t>
      </w:r>
      <w:r>
        <w:rPr>
          <w:rFonts w:ascii="Times New Roman" w:hAnsi="Times New Roman" w:eastAsia="黑体" w:cs="Times New Roman"/>
          <w:sz w:val="28"/>
          <w:szCs w:val="28"/>
        </w:rPr>
        <w:t>情况表</w:t>
      </w:r>
    </w:p>
    <w:tbl>
      <w:tblPr>
        <w:tblStyle w:val="6"/>
        <w:tblW w:w="9871"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59"/>
        <w:gridCol w:w="840"/>
        <w:gridCol w:w="820"/>
        <w:gridCol w:w="820"/>
        <w:gridCol w:w="830"/>
        <w:gridCol w:w="1010"/>
        <w:gridCol w:w="459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blHeader/>
          <w:jc w:val="center"/>
        </w:trPr>
        <w:tc>
          <w:tcPr>
            <w:tcW w:w="959"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年份</w:t>
            </w:r>
          </w:p>
        </w:tc>
        <w:tc>
          <w:tcPr>
            <w:tcW w:w="840"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计划开班数</w:t>
            </w:r>
          </w:p>
        </w:tc>
        <w:tc>
          <w:tcPr>
            <w:tcW w:w="820"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计划外新增班级数</w:t>
            </w:r>
          </w:p>
        </w:tc>
        <w:tc>
          <w:tcPr>
            <w:tcW w:w="820"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实际开班数</w:t>
            </w:r>
          </w:p>
        </w:tc>
        <w:tc>
          <w:tcPr>
            <w:tcW w:w="830"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未开办班级数</w:t>
            </w:r>
          </w:p>
        </w:tc>
        <w:tc>
          <w:tcPr>
            <w:tcW w:w="1010"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计划完成率</w:t>
            </w:r>
          </w:p>
        </w:tc>
        <w:tc>
          <w:tcPr>
            <w:tcW w:w="4592" w:type="dxa"/>
            <w:shd w:val="clear" w:color="auto" w:fill="D7D7D7"/>
            <w:noWrap/>
            <w:tcMar>
              <w:top w:w="10" w:type="dxa"/>
              <w:left w:w="10" w:type="dxa"/>
              <w:right w:w="10" w:type="dxa"/>
            </w:tcMar>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2016</w:t>
            </w:r>
          </w:p>
        </w:tc>
        <w:tc>
          <w:tcPr>
            <w:tcW w:w="84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52</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1</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51</w:t>
            </w:r>
          </w:p>
        </w:tc>
        <w:tc>
          <w:tcPr>
            <w:tcW w:w="83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2</w:t>
            </w:r>
          </w:p>
        </w:tc>
        <w:tc>
          <w:tcPr>
            <w:tcW w:w="101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96.15%</w:t>
            </w:r>
          </w:p>
        </w:tc>
        <w:tc>
          <w:tcPr>
            <w:tcW w:w="4592" w:type="dxa"/>
            <w:noWrap w:val="0"/>
            <w:tcMar>
              <w:top w:w="10" w:type="dxa"/>
              <w:left w:w="10" w:type="dxa"/>
              <w:right w:w="10" w:type="dxa"/>
            </w:tcMar>
            <w:vAlign w:val="center"/>
          </w:tcPr>
          <w:p>
            <w:pPr>
              <w:widowControl/>
              <w:jc w:val="left"/>
              <w:textAlignment w:val="center"/>
              <w:rPr>
                <w:rFonts w:hint="eastAsia" w:ascii="宋体" w:hAnsi="宋体" w:cs="宋体"/>
                <w:sz w:val="22"/>
                <w:szCs w:val="22"/>
              </w:rPr>
            </w:pPr>
            <w:r>
              <w:rPr>
                <w:rFonts w:hint="eastAsia" w:ascii="宋体" w:hAnsi="宋体" w:cs="宋体"/>
                <w:kern w:val="0"/>
                <w:sz w:val="22"/>
                <w:szCs w:val="22"/>
                <w:lang w:bidi="ar"/>
              </w:rPr>
              <w:t>2016年实际开班51个，其中7个班级原计划开班两次，实际按两个班招生合并1次开班，计算为2个。</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4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2017</w:t>
            </w:r>
          </w:p>
        </w:tc>
        <w:tc>
          <w:tcPr>
            <w:tcW w:w="84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55</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53</w:t>
            </w:r>
          </w:p>
        </w:tc>
        <w:tc>
          <w:tcPr>
            <w:tcW w:w="83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7</w:t>
            </w:r>
          </w:p>
        </w:tc>
        <w:tc>
          <w:tcPr>
            <w:tcW w:w="101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87.27%</w:t>
            </w:r>
          </w:p>
        </w:tc>
        <w:tc>
          <w:tcPr>
            <w:tcW w:w="4592" w:type="dxa"/>
            <w:noWrap w:val="0"/>
            <w:tcMar>
              <w:top w:w="10" w:type="dxa"/>
              <w:left w:w="10" w:type="dxa"/>
              <w:right w:w="10" w:type="dxa"/>
            </w:tcMar>
            <w:vAlign w:val="center"/>
          </w:tcPr>
          <w:p>
            <w:pPr>
              <w:widowControl/>
              <w:jc w:val="left"/>
              <w:textAlignment w:val="center"/>
              <w:rPr>
                <w:rFonts w:hint="eastAsia" w:ascii="宋体" w:hAnsi="宋体" w:cs="宋体"/>
                <w:sz w:val="22"/>
                <w:szCs w:val="22"/>
              </w:rPr>
            </w:pPr>
            <w:r>
              <w:rPr>
                <w:rFonts w:hint="eastAsia" w:ascii="宋体" w:hAnsi="宋体" w:cs="宋体"/>
                <w:kern w:val="0"/>
                <w:sz w:val="22"/>
                <w:szCs w:val="22"/>
                <w:lang w:bidi="ar"/>
              </w:rPr>
              <w:t>2017年实际开班数为53个，含有12个延至2018年补办的班级（共开班7次，其中有5个班原计划开班两次，实际按两个班招生合并1次开办，均按2个班计算）；2017年开班的课程中有1个班级原计划开班两次，实际因招生原因只招满1个班级，按1个班计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2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2018</w:t>
            </w:r>
          </w:p>
        </w:tc>
        <w:tc>
          <w:tcPr>
            <w:tcW w:w="84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65</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1</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62</w:t>
            </w:r>
          </w:p>
        </w:tc>
        <w:tc>
          <w:tcPr>
            <w:tcW w:w="83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4</w:t>
            </w:r>
          </w:p>
        </w:tc>
        <w:tc>
          <w:tcPr>
            <w:tcW w:w="101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93.85%</w:t>
            </w:r>
          </w:p>
        </w:tc>
        <w:tc>
          <w:tcPr>
            <w:tcW w:w="4592" w:type="dxa"/>
            <w:noWrap w:val="0"/>
            <w:tcMar>
              <w:top w:w="10" w:type="dxa"/>
              <w:left w:w="10" w:type="dxa"/>
              <w:right w:w="10" w:type="dxa"/>
            </w:tcMar>
            <w:vAlign w:val="center"/>
          </w:tcPr>
          <w:p>
            <w:pPr>
              <w:widowControl/>
              <w:jc w:val="left"/>
              <w:textAlignment w:val="center"/>
              <w:rPr>
                <w:rFonts w:hint="eastAsia" w:ascii="宋体" w:hAnsi="宋体" w:cs="宋体"/>
                <w:sz w:val="22"/>
                <w:szCs w:val="22"/>
              </w:rPr>
            </w:pPr>
            <w:r>
              <w:rPr>
                <w:rFonts w:hint="eastAsia" w:ascii="宋体" w:hAnsi="宋体" w:cs="宋体"/>
                <w:kern w:val="0"/>
                <w:sz w:val="22"/>
                <w:szCs w:val="22"/>
                <w:lang w:bidi="ar"/>
              </w:rPr>
              <w:t>2018年实际开班数为62个（不含2017年延期开班的班级），其中有3个班级计划原开班两次，实际按两个班招生合并1次开办，计算为2个。此外原计划有3个班级，因招生原因合并成2个班级开办，计算为2个</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6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2019</w:t>
            </w:r>
          </w:p>
        </w:tc>
        <w:tc>
          <w:tcPr>
            <w:tcW w:w="84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57</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1</w:t>
            </w:r>
          </w:p>
        </w:tc>
        <w:tc>
          <w:tcPr>
            <w:tcW w:w="82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53</w:t>
            </w:r>
          </w:p>
        </w:tc>
        <w:tc>
          <w:tcPr>
            <w:tcW w:w="83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5</w:t>
            </w:r>
          </w:p>
        </w:tc>
        <w:tc>
          <w:tcPr>
            <w:tcW w:w="1010" w:type="dxa"/>
            <w:noWrap/>
            <w:tcMar>
              <w:top w:w="10" w:type="dxa"/>
              <w:left w:w="10" w:type="dxa"/>
              <w:right w:w="10" w:type="dxa"/>
            </w:tcMar>
            <w:vAlign w:val="center"/>
          </w:tcPr>
          <w:p>
            <w:pPr>
              <w:widowControl/>
              <w:jc w:val="center"/>
              <w:textAlignment w:val="center"/>
              <w:rPr>
                <w:rFonts w:hint="eastAsia" w:ascii="宋体" w:hAnsi="宋体" w:cs="宋体"/>
                <w:sz w:val="22"/>
                <w:szCs w:val="22"/>
              </w:rPr>
            </w:pPr>
            <w:r>
              <w:rPr>
                <w:rFonts w:hint="eastAsia" w:ascii="宋体" w:hAnsi="宋体" w:cs="宋体"/>
                <w:kern w:val="0"/>
                <w:sz w:val="22"/>
                <w:szCs w:val="22"/>
                <w:lang w:bidi="ar"/>
              </w:rPr>
              <w:t>91.23%</w:t>
            </w:r>
          </w:p>
        </w:tc>
        <w:tc>
          <w:tcPr>
            <w:tcW w:w="4592" w:type="dxa"/>
            <w:noWrap w:val="0"/>
            <w:tcMar>
              <w:top w:w="10" w:type="dxa"/>
              <w:left w:w="10" w:type="dxa"/>
              <w:right w:w="10" w:type="dxa"/>
            </w:tcMar>
            <w:vAlign w:val="center"/>
          </w:tcPr>
          <w:p>
            <w:pPr>
              <w:widowControl/>
              <w:jc w:val="left"/>
              <w:textAlignment w:val="center"/>
              <w:rPr>
                <w:rFonts w:hint="eastAsia" w:ascii="宋体" w:hAnsi="宋体" w:cs="宋体"/>
                <w:sz w:val="22"/>
                <w:szCs w:val="22"/>
              </w:rPr>
            </w:pPr>
            <w:r>
              <w:rPr>
                <w:rFonts w:hint="eastAsia" w:ascii="宋体" w:hAnsi="宋体" w:cs="宋体"/>
                <w:kern w:val="0"/>
                <w:sz w:val="22"/>
                <w:szCs w:val="22"/>
                <w:lang w:bidi="ar"/>
              </w:rPr>
              <w:t>2019年实际开班53个，其中4个班级原计划开班两次，实际为两个班招生合并1次开办，计算为2个；存在2个班原计划开班两次，实际因为招生合原因只招满1个班级，按1个班级计算。此外原计划乡村消费纠纷调解培训班、民宿农家乐消费纠纷处置培训班合并为1个班（2019乡村消费纠纷调解暨</w:t>
            </w:r>
            <w:r>
              <w:rPr>
                <w:rFonts w:hint="eastAsia" w:ascii="宋体" w:hAnsi="宋体" w:cs="宋体"/>
                <w:kern w:val="0"/>
                <w:sz w:val="22"/>
                <w:szCs w:val="22"/>
                <w:lang w:eastAsia="zh-CN" w:bidi="ar"/>
              </w:rPr>
              <w:t>农家乐</w:t>
            </w:r>
            <w:r>
              <w:rPr>
                <w:rFonts w:hint="eastAsia" w:ascii="宋体" w:hAnsi="宋体" w:cs="宋体"/>
                <w:kern w:val="0"/>
                <w:sz w:val="22"/>
                <w:szCs w:val="22"/>
                <w:lang w:bidi="ar"/>
              </w:rPr>
              <w:t>消费纠纷处置培训班-64），原计划乡村春晚书画社班、乡村春晚摄影社班、乡村春晚文学社班合并为1个班（2019年丽水市乡村春晚摄影、书画、文学社培训班-81人）的现象。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2020</w:t>
            </w:r>
          </w:p>
        </w:tc>
        <w:tc>
          <w:tcPr>
            <w:tcW w:w="84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39</w:t>
            </w:r>
          </w:p>
        </w:tc>
        <w:tc>
          <w:tcPr>
            <w:tcW w:w="82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w:t>
            </w:r>
          </w:p>
        </w:tc>
        <w:tc>
          <w:tcPr>
            <w:tcW w:w="82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39</w:t>
            </w:r>
          </w:p>
        </w:tc>
        <w:tc>
          <w:tcPr>
            <w:tcW w:w="83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w:t>
            </w:r>
          </w:p>
        </w:tc>
        <w:tc>
          <w:tcPr>
            <w:tcW w:w="101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100.00%</w:t>
            </w:r>
          </w:p>
        </w:tc>
        <w:tc>
          <w:tcPr>
            <w:tcW w:w="4592"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0" w:hRule="atLeast"/>
          <w:jc w:val="center"/>
        </w:trPr>
        <w:tc>
          <w:tcPr>
            <w:tcW w:w="959"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合计</w:t>
            </w:r>
          </w:p>
        </w:tc>
        <w:tc>
          <w:tcPr>
            <w:tcW w:w="84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268</w:t>
            </w:r>
          </w:p>
        </w:tc>
        <w:tc>
          <w:tcPr>
            <w:tcW w:w="82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8</w:t>
            </w:r>
          </w:p>
        </w:tc>
        <w:tc>
          <w:tcPr>
            <w:tcW w:w="82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258</w:t>
            </w:r>
          </w:p>
        </w:tc>
        <w:tc>
          <w:tcPr>
            <w:tcW w:w="83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1010" w:type="dxa"/>
            <w:noWrap/>
            <w:tcMar>
              <w:top w:w="10" w:type="dxa"/>
              <w:left w:w="10" w:type="dxa"/>
              <w:right w:w="10"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93.28%</w:t>
            </w:r>
          </w:p>
        </w:tc>
        <w:tc>
          <w:tcPr>
            <w:tcW w:w="4592" w:type="dxa"/>
            <w:noWrap/>
            <w:tcMar>
              <w:top w:w="10" w:type="dxa"/>
              <w:left w:w="10" w:type="dxa"/>
              <w:right w:w="10" w:type="dxa"/>
            </w:tcMar>
            <w:vAlign w:val="center"/>
          </w:tcPr>
          <w:p>
            <w:pPr>
              <w:jc w:val="center"/>
              <w:rPr>
                <w:rFonts w:hint="eastAsia" w:ascii="宋体" w:hAnsi="宋体" w:cs="宋体"/>
                <w:color w:val="000000"/>
                <w:sz w:val="22"/>
                <w:szCs w:val="22"/>
              </w:rPr>
            </w:pPr>
          </w:p>
        </w:tc>
      </w:tr>
    </w:tbl>
    <w:p>
      <w:pPr>
        <w:pStyle w:val="2"/>
        <w:snapToGrid w:val="0"/>
        <w:spacing w:line="500" w:lineRule="atLeast"/>
        <w:ind w:left="0" w:firstLine="643" w:firstLineChars="200"/>
        <w:rPr>
          <w:rFonts w:hint="eastAsia" w:ascii="仿宋_GB2312" w:hAnsi="Calibri" w:eastAsia="仿宋_GB2312" w:cs="Times New Roman"/>
          <w:sz w:val="32"/>
          <w:szCs w:val="32"/>
        </w:rPr>
      </w:pPr>
      <w:r>
        <w:rPr>
          <w:rFonts w:hint="eastAsia" w:ascii="仿宋_GB2312" w:hAnsi="Calibri" w:eastAsia="仿宋_GB2312" w:cs="Times New Roman"/>
          <w:b/>
          <w:bCs/>
          <w:i w:val="0"/>
          <w:iCs w:val="0"/>
          <w:sz w:val="32"/>
          <w:szCs w:val="32"/>
        </w:rPr>
        <w:t>2.学员到课情况缺乏有效认定。</w:t>
      </w:r>
      <w:r>
        <w:rPr>
          <w:rFonts w:hint="eastAsia" w:ascii="仿宋_GB2312" w:hAnsi="Calibri" w:eastAsia="仿宋_GB2312" w:cs="Times New Roman"/>
          <w:sz w:val="32"/>
          <w:szCs w:val="32"/>
        </w:rPr>
        <w:t>培训教学管理工作主要由各培训机构负责，从培训机构提供的培训班台账情况来看，现场教学培训资料主要包括课程内容介绍、培训现场照片、部分培训课件、参训学员签到情况表。从各培训班的签到情况来看，参训人员均为全勤，抽查中未发现一例缺课情况，这与现场访谈中部分参训人员反馈培训过程中出现部分课程到课率低的情况不相符。且各培训班次均未出现缺课，这种情况在教学过程中也很难出现。由此可见，</w:t>
      </w:r>
      <w:r>
        <w:rPr>
          <w:rFonts w:hint="eastAsia" w:ascii="仿宋_GB2312" w:hAnsi="Calibri" w:eastAsia="仿宋_GB2312" w:cs="Times New Roman"/>
          <w:sz w:val="32"/>
          <w:szCs w:val="32"/>
          <w:lang w:val="en-US" w:eastAsia="zh-CN"/>
        </w:rPr>
        <w:t>培训机构提供的</w:t>
      </w:r>
      <w:r>
        <w:rPr>
          <w:rFonts w:hint="eastAsia" w:ascii="仿宋_GB2312" w:hAnsi="Calibri" w:eastAsia="仿宋_GB2312" w:cs="Times New Roman"/>
          <w:sz w:val="32"/>
          <w:szCs w:val="32"/>
        </w:rPr>
        <w:t>培训签到</w:t>
      </w:r>
      <w:r>
        <w:rPr>
          <w:rFonts w:hint="eastAsia" w:ascii="仿宋_GB2312" w:hAnsi="Calibri" w:eastAsia="仿宋_GB2312" w:cs="Times New Roman"/>
          <w:sz w:val="32"/>
          <w:szCs w:val="32"/>
          <w:lang w:val="en-US" w:eastAsia="zh-CN"/>
        </w:rPr>
        <w:t>表比较难真实反映出到课情况</w:t>
      </w:r>
      <w:r>
        <w:rPr>
          <w:rFonts w:hint="eastAsia" w:ascii="仿宋_GB2312" w:hAnsi="Calibri" w:eastAsia="仿宋_GB2312" w:cs="Times New Roman"/>
          <w:sz w:val="32"/>
          <w:szCs w:val="32"/>
        </w:rPr>
        <w:t>，学员真实到课情况难以界定。</w:t>
      </w:r>
    </w:p>
    <w:p>
      <w:pPr>
        <w:widowControl/>
        <w:snapToGrid w:val="0"/>
        <w:spacing w:line="500" w:lineRule="atLeast"/>
        <w:ind w:firstLine="643" w:firstLineChars="200"/>
        <w:jc w:val="left"/>
        <w:rPr>
          <w:rFonts w:eastAsia="仿宋_GB2312"/>
          <w:sz w:val="32"/>
          <w:szCs w:val="32"/>
        </w:rPr>
      </w:pPr>
      <w:r>
        <w:rPr>
          <w:rFonts w:hint="eastAsia" w:eastAsia="仿宋_GB2312"/>
          <w:b/>
          <w:bCs/>
          <w:sz w:val="32"/>
          <w:szCs w:val="32"/>
        </w:rPr>
        <w:t>3.培训效果缺乏跟踪督查。</w:t>
      </w:r>
      <w:r>
        <w:rPr>
          <w:rFonts w:hint="eastAsia" w:eastAsia="仿宋_GB2312"/>
          <w:b w:val="0"/>
          <w:bCs w:val="0"/>
          <w:sz w:val="32"/>
          <w:szCs w:val="32"/>
        </w:rPr>
        <w:t>一是</w:t>
      </w:r>
      <w:r>
        <w:rPr>
          <w:rFonts w:eastAsia="仿宋_GB2312"/>
          <w:sz w:val="32"/>
          <w:szCs w:val="32"/>
        </w:rPr>
        <w:t>满意度调查流于形式。</w:t>
      </w:r>
      <w:r>
        <w:rPr>
          <w:rFonts w:hint="eastAsia" w:eastAsia="仿宋_GB2312"/>
          <w:sz w:val="32"/>
          <w:szCs w:val="32"/>
        </w:rPr>
        <w:t>满意度调查由</w:t>
      </w:r>
      <w:r>
        <w:rPr>
          <w:rFonts w:eastAsia="仿宋_GB2312"/>
          <w:sz w:val="32"/>
          <w:szCs w:val="32"/>
        </w:rPr>
        <w:t>各培训机构</w:t>
      </w:r>
      <w:r>
        <w:rPr>
          <w:rFonts w:hint="eastAsia" w:eastAsia="仿宋_GB2312"/>
          <w:sz w:val="32"/>
          <w:szCs w:val="32"/>
        </w:rPr>
        <w:t>在</w:t>
      </w:r>
      <w:r>
        <w:rPr>
          <w:rFonts w:eastAsia="仿宋_GB2312"/>
          <w:sz w:val="32"/>
          <w:szCs w:val="32"/>
        </w:rPr>
        <w:t>培训课程结束后，</w:t>
      </w:r>
      <w:r>
        <w:rPr>
          <w:rFonts w:hint="eastAsia" w:eastAsia="仿宋_GB2312"/>
          <w:sz w:val="32"/>
          <w:szCs w:val="32"/>
        </w:rPr>
        <w:t>对参训</w:t>
      </w:r>
      <w:r>
        <w:rPr>
          <w:rFonts w:eastAsia="仿宋_GB2312"/>
          <w:sz w:val="32"/>
          <w:szCs w:val="32"/>
        </w:rPr>
        <w:t>学员</w:t>
      </w:r>
      <w:r>
        <w:rPr>
          <w:rFonts w:hint="eastAsia" w:eastAsia="仿宋_GB2312"/>
          <w:sz w:val="32"/>
          <w:szCs w:val="32"/>
        </w:rPr>
        <w:t>开展</w:t>
      </w:r>
      <w:r>
        <w:rPr>
          <w:rFonts w:eastAsia="仿宋_GB2312"/>
          <w:sz w:val="32"/>
          <w:szCs w:val="32"/>
        </w:rPr>
        <w:t>调查</w:t>
      </w:r>
      <w:r>
        <w:rPr>
          <w:rFonts w:hint="eastAsia" w:eastAsia="仿宋_GB2312"/>
          <w:sz w:val="32"/>
          <w:szCs w:val="32"/>
        </w:rPr>
        <w:t>。</w:t>
      </w:r>
      <w:r>
        <w:rPr>
          <w:rFonts w:eastAsia="仿宋_GB2312"/>
          <w:sz w:val="32"/>
          <w:szCs w:val="32"/>
        </w:rPr>
        <w:t>从</w:t>
      </w:r>
      <w:r>
        <w:rPr>
          <w:rFonts w:hint="eastAsia" w:eastAsia="仿宋_GB2312"/>
          <w:sz w:val="32"/>
          <w:szCs w:val="32"/>
        </w:rPr>
        <w:t>现场</w:t>
      </w:r>
      <w:r>
        <w:rPr>
          <w:rFonts w:eastAsia="仿宋_GB2312"/>
          <w:sz w:val="32"/>
          <w:szCs w:val="32"/>
        </w:rPr>
        <w:t>抽查结果来看，各</w:t>
      </w:r>
      <w:r>
        <w:rPr>
          <w:rFonts w:hint="eastAsia" w:eastAsia="仿宋_GB2312"/>
          <w:sz w:val="32"/>
          <w:szCs w:val="32"/>
        </w:rPr>
        <w:t>培训</w:t>
      </w:r>
      <w:r>
        <w:rPr>
          <w:rFonts w:eastAsia="仿宋_GB2312"/>
          <w:sz w:val="32"/>
          <w:szCs w:val="32"/>
        </w:rPr>
        <w:t>班次满意度均为满分，这与现场访谈和问卷调查反馈信息不符，实际过程中也不</w:t>
      </w:r>
      <w:r>
        <w:rPr>
          <w:rFonts w:hint="eastAsia" w:eastAsia="仿宋_GB2312"/>
          <w:sz w:val="32"/>
          <w:szCs w:val="32"/>
        </w:rPr>
        <w:t>太</w:t>
      </w:r>
      <w:r>
        <w:rPr>
          <w:rFonts w:eastAsia="仿宋_GB2312"/>
          <w:sz w:val="32"/>
          <w:szCs w:val="32"/>
        </w:rPr>
        <w:t>可能出现所有班次满意度全部满分的情况，调查结果无法真实反映学员实际培训情况</w:t>
      </w:r>
      <w:r>
        <w:rPr>
          <w:rFonts w:eastAsia="仿宋_GB2312"/>
          <w:b w:val="0"/>
          <w:bCs w:val="0"/>
          <w:sz w:val="32"/>
          <w:szCs w:val="32"/>
        </w:rPr>
        <w:t>。</w:t>
      </w:r>
      <w:r>
        <w:rPr>
          <w:rFonts w:hint="eastAsia" w:eastAsia="仿宋_GB2312"/>
          <w:b w:val="0"/>
          <w:bCs w:val="0"/>
          <w:sz w:val="32"/>
          <w:szCs w:val="32"/>
        </w:rPr>
        <w:t>二是</w:t>
      </w:r>
      <w:r>
        <w:rPr>
          <w:rFonts w:hint="eastAsia" w:eastAsia="仿宋_GB2312"/>
          <w:sz w:val="32"/>
          <w:szCs w:val="32"/>
        </w:rPr>
        <w:t>培训成果的应用效益不显著。主管部门和相关主办单位只着眼于开展培训项目和完成培训任务，对于培训后期考核、培训效果的跟踪缺乏有效落实，仅培训机构在培训结束后进行简单的电话回访，缺乏对培训效果整体的评估把控。《丽水市级农民培训项目管理实施细则（试行）》（丽农办〔20</w:t>
      </w:r>
      <w:r>
        <w:rPr>
          <w:rFonts w:hint="eastAsia" w:ascii="仿宋_GB2312" w:eastAsia="仿宋_GB2312"/>
          <w:sz w:val="32"/>
          <w:szCs w:val="32"/>
        </w:rPr>
        <w:t>18〕11号）</w:t>
      </w:r>
      <w:r>
        <w:rPr>
          <w:rFonts w:hint="eastAsia" w:eastAsia="仿宋_GB2312"/>
          <w:sz w:val="32"/>
          <w:szCs w:val="32"/>
        </w:rPr>
        <w:t>规定“后期跟踪。若是创业培训，适时填写创业培训情况跟踪记录表”，虽然文件中提到后期跟踪，但未明确具体实施方案，后期跟踪整体缺失。</w:t>
      </w:r>
    </w:p>
    <w:p>
      <w:pPr>
        <w:snapToGrid w:val="0"/>
        <w:spacing w:line="500" w:lineRule="atLeast"/>
        <w:ind w:firstLine="643" w:firstLineChars="200"/>
        <w:rPr>
          <w:rFonts w:ascii="仿宋_GB2312" w:eastAsia="仿宋_GB2312"/>
          <w:sz w:val="32"/>
          <w:szCs w:val="32"/>
        </w:rPr>
      </w:pPr>
      <w:r>
        <w:rPr>
          <w:rFonts w:hint="eastAsia" w:eastAsia="仿宋_GB2312"/>
          <w:b/>
          <w:bCs/>
          <w:sz w:val="32"/>
          <w:szCs w:val="32"/>
        </w:rPr>
        <w:t>4</w:t>
      </w:r>
      <w:r>
        <w:rPr>
          <w:rFonts w:hint="eastAsia" w:eastAsia="仿宋_GB2312"/>
          <w:sz w:val="32"/>
          <w:szCs w:val="32"/>
        </w:rPr>
        <w:t>.</w:t>
      </w:r>
      <w:r>
        <w:rPr>
          <w:rFonts w:hint="eastAsia" w:eastAsia="仿宋_GB2312"/>
          <w:b/>
          <w:bCs/>
          <w:sz w:val="32"/>
          <w:szCs w:val="32"/>
        </w:rPr>
        <w:t>培训需求契合度</w:t>
      </w:r>
      <w:r>
        <w:rPr>
          <w:rFonts w:hint="eastAsia" w:eastAsia="仿宋_GB2312"/>
          <w:b/>
          <w:bCs/>
          <w:sz w:val="32"/>
          <w:szCs w:val="32"/>
          <w:lang w:val="en-US" w:eastAsia="zh-CN"/>
        </w:rPr>
        <w:t>有所欠缺</w:t>
      </w:r>
      <w:r>
        <w:rPr>
          <w:rFonts w:hint="eastAsia" w:eastAsia="仿宋_GB2312"/>
          <w:b/>
          <w:bCs/>
          <w:sz w:val="32"/>
          <w:szCs w:val="32"/>
        </w:rPr>
        <w:t>。</w:t>
      </w:r>
      <w:r>
        <w:rPr>
          <w:rFonts w:hint="eastAsia" w:eastAsia="仿宋_GB2312"/>
          <w:b w:val="0"/>
          <w:bCs w:val="0"/>
          <w:sz w:val="32"/>
          <w:szCs w:val="32"/>
        </w:rPr>
        <w:t>一是</w:t>
      </w:r>
      <w:r>
        <w:rPr>
          <w:rFonts w:hint="eastAsia" w:eastAsia="仿宋_GB2312"/>
          <w:sz w:val="32"/>
          <w:szCs w:val="32"/>
        </w:rPr>
        <w:t>培训需求方面</w:t>
      </w:r>
      <w:r>
        <w:rPr>
          <w:rFonts w:hint="eastAsia" w:ascii="仿宋_GB2312" w:eastAsia="仿宋_GB2312"/>
          <w:sz w:val="32"/>
          <w:szCs w:val="32"/>
        </w:rPr>
        <w:t>。虽然主办单位和培训机构对培训内容会做一定程度的需求调查，但是缺乏有效的需求调研机制，无法切实掌握参训人员的真实培训需求。</w:t>
      </w:r>
      <w:r>
        <w:rPr>
          <w:rFonts w:hint="eastAsia" w:ascii="仿宋_GB2312" w:eastAsia="仿宋_GB2312"/>
          <w:b w:val="0"/>
          <w:bCs w:val="0"/>
          <w:sz w:val="32"/>
          <w:szCs w:val="32"/>
        </w:rPr>
        <w:t>二是</w:t>
      </w:r>
      <w:r>
        <w:rPr>
          <w:rFonts w:hint="eastAsia" w:ascii="仿宋_GB2312" w:eastAsia="仿宋_GB2312"/>
          <w:sz w:val="32"/>
          <w:szCs w:val="32"/>
        </w:rPr>
        <w:t>参训人员方面。培训班具体参训人员由各县（市、区）确定，主管部门仅对学员年龄、是否为体制内人员及参训频率做要求，缺乏对参训人员匹配度的有效控制。</w:t>
      </w:r>
      <w:r>
        <w:rPr>
          <w:rFonts w:hint="eastAsia" w:ascii="仿宋_GB2312" w:eastAsia="仿宋_GB2312"/>
          <w:b w:val="0"/>
          <w:bCs w:val="0"/>
          <w:sz w:val="32"/>
          <w:szCs w:val="32"/>
        </w:rPr>
        <w:t>三是</w:t>
      </w:r>
      <w:r>
        <w:rPr>
          <w:rFonts w:hint="eastAsia" w:ascii="仿宋_GB2312" w:eastAsia="仿宋_GB2312"/>
          <w:sz w:val="32"/>
          <w:szCs w:val="32"/>
        </w:rPr>
        <w:t>课程设计方面。</w:t>
      </w:r>
      <w:r>
        <w:rPr>
          <w:rFonts w:hint="eastAsia" w:ascii="仿宋_GB2312" w:eastAsia="仿宋_GB2312"/>
          <w:bCs/>
          <w:sz w:val="32"/>
          <w:szCs w:val="32"/>
        </w:rPr>
        <w:t>评价发现存在部分培训课程设置不合理的情况，个别培训课程与培训主题关联性不大。如2018年组织的丽水市农村金融知识培训班，开展雨伞岗山坡雾耕栽培术课程与金融知识培训无关；2019年组织的第二期丽水市兴驰振兴新青年创新培训班（现代农业），课程主题为种植人才培养，课程内容过于宽泛，除石蛙林蛙养殖外，其他课程均与种植或农业无关。此外，</w:t>
      </w:r>
      <w:r>
        <w:rPr>
          <w:rFonts w:hint="eastAsia" w:ascii="仿宋_GB2312" w:eastAsia="仿宋_GB2312"/>
          <w:sz w:val="32"/>
          <w:szCs w:val="32"/>
        </w:rPr>
        <w:t>根据问卷调查和电话访谈了解，参训人员反馈部分授课内容较空泛、不切实际，部分课程内容在现阶段还不具备可操作性，课程针对性不强。</w:t>
      </w:r>
    </w:p>
    <w:p>
      <w:pPr>
        <w:widowControl/>
        <w:snapToGrid w:val="0"/>
        <w:spacing w:line="500" w:lineRule="atLeast"/>
        <w:jc w:val="left"/>
        <w:rPr>
          <w:rFonts w:eastAsia="仿宋_GB2312"/>
          <w:bCs/>
          <w:color w:val="FF0000"/>
          <w:sz w:val="32"/>
          <w:szCs w:val="32"/>
        </w:rPr>
      </w:pPr>
      <w:r>
        <w:rPr>
          <w:rFonts w:hint="eastAsia" w:eastAsia="仿宋_GB2312"/>
          <w:b/>
          <w:bCs/>
          <w:sz w:val="32"/>
          <w:szCs w:val="32"/>
        </w:rPr>
        <w:t xml:space="preserve">    5.培训模式灵活性不足。</w:t>
      </w:r>
      <w:r>
        <w:rPr>
          <w:rFonts w:hint="eastAsia" w:eastAsia="仿宋_GB2312"/>
          <w:bCs/>
          <w:sz w:val="32"/>
          <w:szCs w:val="32"/>
        </w:rPr>
        <w:t>根据</w:t>
      </w:r>
      <w:r>
        <w:rPr>
          <w:rFonts w:hint="eastAsia" w:ascii="仿宋_GB2312" w:eastAsia="仿宋_GB2312"/>
          <w:sz w:val="32"/>
          <w:szCs w:val="32"/>
        </w:rPr>
        <w:t>《丽水市级农民培训项目管理实施细则（试行）》（丽农办〔2018〕11号）规定</w:t>
      </w:r>
      <w:r>
        <w:rPr>
          <w:rFonts w:hint="eastAsia" w:eastAsia="仿宋_GB2312"/>
          <w:bCs/>
          <w:sz w:val="32"/>
          <w:szCs w:val="32"/>
        </w:rPr>
        <w:t>，市级组织的培训模式固定为五天，可选“五天理论课”或“三天理论课+两天实训课”，从实际开办情况来看，主要以理论课+实训课的培训模式为主。不同培训内容需要的培训模式不尽相同，当前固化的培训模式不利于真正取得培训实效。如部分需到丽水市外开展实训的项目，若仅安排两天实训课程，除去来回路程，实训时间非常有限，实际培训效果很难保障。</w:t>
      </w:r>
    </w:p>
    <w:p>
      <w:pPr>
        <w:widowControl/>
        <w:snapToGrid w:val="0"/>
        <w:spacing w:line="500" w:lineRule="atLeast"/>
        <w:jc w:val="left"/>
        <w:rPr>
          <w:rFonts w:ascii="仿宋_GB2312" w:eastAsia="仿宋_GB2312"/>
          <w:sz w:val="32"/>
          <w:szCs w:val="32"/>
        </w:rPr>
      </w:pPr>
      <w:r>
        <w:rPr>
          <w:rFonts w:hint="eastAsia" w:eastAsia="仿宋_GB2312"/>
          <w:b/>
          <w:bCs/>
          <w:sz w:val="32"/>
          <w:szCs w:val="32"/>
        </w:rPr>
        <w:t xml:space="preserve">    6.培训机构师资力量</w:t>
      </w:r>
      <w:r>
        <w:rPr>
          <w:rFonts w:hint="eastAsia" w:eastAsia="仿宋_GB2312"/>
          <w:b/>
          <w:bCs/>
          <w:sz w:val="32"/>
          <w:szCs w:val="32"/>
          <w:lang w:val="en-US" w:eastAsia="zh-CN"/>
        </w:rPr>
        <w:t>存在</w:t>
      </w:r>
      <w:r>
        <w:rPr>
          <w:rFonts w:hint="eastAsia" w:eastAsia="仿宋_GB2312"/>
          <w:b/>
          <w:bCs/>
          <w:sz w:val="32"/>
          <w:szCs w:val="32"/>
        </w:rPr>
        <w:t>不足。</w:t>
      </w:r>
      <w:r>
        <w:rPr>
          <w:rFonts w:hint="eastAsia" w:eastAsia="仿宋_GB2312"/>
          <w:sz w:val="32"/>
          <w:szCs w:val="32"/>
        </w:rPr>
        <w:t>目前，</w:t>
      </w:r>
      <w:r>
        <w:rPr>
          <w:rFonts w:hint="eastAsia" w:ascii="仿宋_GB2312" w:eastAsia="仿宋_GB2312"/>
          <w:sz w:val="32"/>
          <w:szCs w:val="32"/>
        </w:rPr>
        <w:t>各培训机构教学师资多数由高校教师、机关干部、乡土专家组成，部分课程由培训机构自有师资承担，但占比相对较小。整体来看，培训机构自有师资力量不足，虽然通过聘请外部师资满足培训需求，但也容易受外部因素干扰限制，师资教学质量难以保证，难以统一要求。</w:t>
      </w:r>
    </w:p>
    <w:p>
      <w:pPr>
        <w:pStyle w:val="4"/>
        <w:keepNext w:val="0"/>
        <w:keepLines w:val="0"/>
        <w:adjustRightInd w:val="0"/>
        <w:snapToGrid w:val="0"/>
        <w:spacing w:before="0" w:after="0" w:line="500" w:lineRule="atLeast"/>
        <w:ind w:firstLine="643" w:firstLineChars="200"/>
        <w:rPr>
          <w:rFonts w:hint="eastAsia" w:ascii="楷体_GB2312" w:hAnsi="楷体_GB2312" w:eastAsia="楷体_GB2312" w:cs="楷体_GB2312"/>
          <w:b/>
          <w:bCs/>
          <w:lang w:val="en-US" w:eastAsia="zh-CN"/>
        </w:rPr>
      </w:pPr>
      <w:r>
        <w:rPr>
          <w:rFonts w:hint="eastAsia" w:ascii="楷体_GB2312" w:hAnsi="楷体_GB2312" w:eastAsia="楷体_GB2312" w:cs="楷体_GB2312"/>
          <w:b/>
          <w:bCs/>
        </w:rPr>
        <w:t>（三）</w:t>
      </w:r>
      <w:r>
        <w:rPr>
          <w:rFonts w:hint="eastAsia" w:ascii="楷体_GB2312" w:hAnsi="楷体_GB2312" w:eastAsia="楷体_GB2312" w:cs="楷体_GB2312"/>
          <w:b/>
          <w:bCs/>
          <w:lang w:val="en-US" w:eastAsia="zh-CN"/>
        </w:rPr>
        <w:t>部分培训项目监管不够到位</w:t>
      </w:r>
    </w:p>
    <w:p>
      <w:pPr>
        <w:tabs>
          <w:tab w:val="left" w:pos="420"/>
        </w:tabs>
        <w:snapToGrid w:val="0"/>
        <w:spacing w:line="500" w:lineRule="atLeast"/>
        <w:ind w:firstLine="643" w:firstLineChars="200"/>
        <w:rPr>
          <w:rFonts w:ascii="仿宋_GB2312" w:eastAsia="仿宋_GB2312"/>
          <w:sz w:val="32"/>
          <w:szCs w:val="32"/>
        </w:rPr>
      </w:pPr>
      <w:r>
        <w:rPr>
          <w:rFonts w:hint="eastAsia" w:eastAsia="仿宋_GB2312"/>
          <w:b/>
          <w:sz w:val="32"/>
          <w:szCs w:val="32"/>
        </w:rPr>
        <w:t>1.教学质量无法考究。</w:t>
      </w:r>
      <w:r>
        <w:rPr>
          <w:rFonts w:hint="eastAsia" w:ascii="仿宋_GB2312" w:eastAsia="仿宋_GB2312"/>
          <w:sz w:val="32"/>
          <w:szCs w:val="32"/>
        </w:rPr>
        <w:t>各培训班现场管理以培训机构为主，主办单位为辅。培训机构对日常教学质量进行督导检查，并了解参训人员满意度情况；主办单位对现场教学质量进行抽查，但未对核查情况做详细评估记录，无法对教学管理质量做综合评价。</w:t>
      </w:r>
    </w:p>
    <w:p>
      <w:pPr>
        <w:tabs>
          <w:tab w:val="left" w:pos="420"/>
        </w:tabs>
        <w:snapToGrid w:val="0"/>
        <w:spacing w:line="500" w:lineRule="atLeast"/>
        <w:ind w:firstLine="643" w:firstLineChars="200"/>
        <w:rPr>
          <w:rFonts w:hint="eastAsia" w:ascii="仿宋_GB2312" w:eastAsia="仿宋_GB2312"/>
          <w:sz w:val="32"/>
          <w:szCs w:val="32"/>
        </w:rPr>
      </w:pPr>
      <w:r>
        <w:rPr>
          <w:rFonts w:hint="eastAsia" w:eastAsia="仿宋_GB2312"/>
          <w:b/>
          <w:sz w:val="32"/>
          <w:szCs w:val="32"/>
        </w:rPr>
        <w:t>2.验收工作</w:t>
      </w:r>
      <w:r>
        <w:rPr>
          <w:rFonts w:hint="eastAsia" w:eastAsia="仿宋_GB2312"/>
          <w:b/>
          <w:sz w:val="32"/>
          <w:szCs w:val="32"/>
          <w:lang w:val="en-US" w:eastAsia="zh-CN"/>
        </w:rPr>
        <w:t>未能考虑培训成效</w:t>
      </w:r>
      <w:r>
        <w:rPr>
          <w:rFonts w:hint="eastAsia" w:eastAsia="仿宋_GB2312"/>
          <w:b/>
          <w:sz w:val="32"/>
          <w:szCs w:val="32"/>
        </w:rPr>
        <w:t>。</w:t>
      </w:r>
      <w:r>
        <w:rPr>
          <w:rFonts w:hint="eastAsia" w:ascii="仿宋_GB2312" w:eastAsia="仿宋_GB2312"/>
          <w:sz w:val="32"/>
          <w:szCs w:val="32"/>
        </w:rPr>
        <w:t>项目结束后，验收工作以培训机构提交的项目资料台账作为审核依据，其中培训签到统计、满意度调查由各培训机构自行负责，容易流于形式。主管部门和主办单位未对培训效果和培训质量做及时的跟踪调查，验收工作未能充分考虑培训成果的有效性和效益性。</w:t>
      </w:r>
    </w:p>
    <w:p>
      <w:pPr>
        <w:pStyle w:val="2"/>
        <w:snapToGrid w:val="0"/>
        <w:spacing w:line="500" w:lineRule="atLeast"/>
        <w:ind w:left="0" w:firstLine="643" w:firstLineChars="200"/>
        <w:rPr>
          <w:rFonts w:ascii="仿宋_GB2312" w:eastAsia="仿宋_GB2312"/>
          <w:color w:val="FF0000"/>
          <w:sz w:val="32"/>
          <w:szCs w:val="32"/>
        </w:rPr>
      </w:pPr>
      <w:r>
        <w:rPr>
          <w:rFonts w:hint="eastAsia" w:eastAsia="仿宋_GB2312"/>
          <w:b/>
          <w:sz w:val="32"/>
          <w:szCs w:val="32"/>
        </w:rPr>
        <w:t>3.培训服务购买方式不</w:t>
      </w:r>
      <w:r>
        <w:rPr>
          <w:rFonts w:hint="eastAsia" w:eastAsia="仿宋_GB2312"/>
          <w:b/>
          <w:sz w:val="32"/>
          <w:szCs w:val="32"/>
          <w:lang w:val="en-US" w:eastAsia="zh-CN"/>
        </w:rPr>
        <w:t>够</w:t>
      </w:r>
      <w:r>
        <w:rPr>
          <w:rFonts w:hint="eastAsia" w:eastAsia="仿宋_GB2312"/>
          <w:b/>
          <w:sz w:val="32"/>
          <w:szCs w:val="32"/>
        </w:rPr>
        <w:t>合理。</w:t>
      </w:r>
      <w:r>
        <w:rPr>
          <w:rFonts w:hint="eastAsia" w:ascii="仿宋_GB2312" w:eastAsia="仿宋_GB2312"/>
          <w:sz w:val="32"/>
          <w:szCs w:val="32"/>
        </w:rPr>
        <w:t>根据《丽水市级农民培训项目管理实施细则（试行）》（丽农办〔2018〕11号）规定，培训机构指定由丽水市委党校、丽水学院、丽水职业技术学院、丽水电大四家单位承担。实施过程中，承接项目的培训机构均由主办单位指定，采用单一来源的方式采购，不符合《浙江省财政厅关于进一步规范政府购买服务采购管理的通知》（浙财采监〔2021〕2号）“购买主体应当结合政府购买服务项目的性质、特点以及市场状况、相关供应商服务能力和信用状况等因素，依法选择合适的采购方式。鼓励依法选择有利于提高采购效率、保证项目质量的竞争性非招标采购方式”的规定。同时，对于单一来源采购方式，有明确的适用范围，从农民培训项目性质来看，不符合单一来源采购方式的要求。</w:t>
      </w:r>
    </w:p>
    <w:p>
      <w:pPr>
        <w:pStyle w:val="4"/>
        <w:keepNext w:val="0"/>
        <w:keepLines w:val="0"/>
        <w:adjustRightInd w:val="0"/>
        <w:snapToGrid w:val="0"/>
        <w:spacing w:before="0" w:after="0" w:line="500" w:lineRule="atLeast"/>
        <w:ind w:firstLine="643" w:firstLineChars="200"/>
        <w:rPr>
          <w:rFonts w:hint="default" w:ascii="楷体_GB2312" w:hAnsi="楷体_GB2312" w:eastAsia="楷体_GB2312" w:cs="楷体_GB2312"/>
          <w:b/>
          <w:bCs/>
          <w:lang w:val="en-US" w:eastAsia="zh-CN"/>
        </w:rPr>
      </w:pPr>
      <w:r>
        <w:rPr>
          <w:rFonts w:hint="eastAsia" w:ascii="楷体_GB2312" w:hAnsi="楷体_GB2312" w:eastAsia="楷体_GB2312" w:cs="楷体_GB2312"/>
          <w:b/>
          <w:bCs/>
        </w:rPr>
        <w:t>（四）绩效管理不</w:t>
      </w:r>
      <w:r>
        <w:rPr>
          <w:rFonts w:hint="eastAsia" w:ascii="楷体_GB2312" w:hAnsi="楷体_GB2312" w:eastAsia="楷体_GB2312" w:cs="楷体_GB2312"/>
          <w:b/>
          <w:bCs/>
          <w:lang w:val="en-US" w:eastAsia="zh-CN"/>
        </w:rPr>
        <w:t>够精准</w:t>
      </w:r>
    </w:p>
    <w:p>
      <w:pPr>
        <w:widowControl/>
        <w:tabs>
          <w:tab w:val="left" w:pos="420"/>
        </w:tabs>
        <w:snapToGrid w:val="0"/>
        <w:spacing w:line="500" w:lineRule="atLeast"/>
        <w:ind w:firstLine="643" w:firstLineChars="200"/>
        <w:jc w:val="left"/>
        <w:rPr>
          <w:rFonts w:ascii="仿宋_GB2312" w:eastAsia="仿宋_GB2312"/>
          <w:sz w:val="32"/>
          <w:szCs w:val="32"/>
        </w:rPr>
      </w:pPr>
      <w:r>
        <w:rPr>
          <w:rFonts w:hint="eastAsia" w:eastAsia="仿宋_GB2312"/>
          <w:b/>
          <w:sz w:val="32"/>
          <w:szCs w:val="32"/>
        </w:rPr>
        <w:t>1.预算标准不够规范，未能体现全成本效益原则。</w:t>
      </w:r>
      <w:r>
        <w:rPr>
          <w:rFonts w:hint="eastAsia" w:ascii="仿宋_GB2312" w:eastAsia="仿宋_GB2312"/>
          <w:sz w:val="32"/>
          <w:szCs w:val="32"/>
        </w:rPr>
        <w:t>绩效优先是《预算法》的一个基本原则，财政支出必须明确其绩效目标，要形成怎样的产出数量与质量，达到什么程度的经济和社会效益，如何实现以最小的投入创造最大的效益，这是公共财政资源配置的前提。但评价发现，项目预算安排并未很好体现全成本效益原则，具体体现在以下几个方面：</w:t>
      </w:r>
    </w:p>
    <w:p>
      <w:pPr>
        <w:snapToGrid w:val="0"/>
        <w:spacing w:line="500" w:lineRule="atLeast"/>
        <w:ind w:firstLine="643" w:firstLineChars="200"/>
      </w:pPr>
      <w:r>
        <w:rPr>
          <w:rFonts w:hint="eastAsia" w:ascii="仿宋" w:hAnsi="仿宋" w:eastAsia="仿宋"/>
          <w:b/>
          <w:bCs/>
          <w:sz w:val="32"/>
          <w:szCs w:val="32"/>
        </w:rPr>
        <w:t>（1）</w:t>
      </w:r>
      <w:r>
        <w:rPr>
          <w:rFonts w:hint="eastAsia" w:ascii="仿宋_GB2312" w:eastAsia="仿宋_GB2312"/>
          <w:b/>
          <w:bCs/>
          <w:sz w:val="32"/>
          <w:szCs w:val="32"/>
        </w:rPr>
        <w:t>绩效目标设置不完善。</w:t>
      </w:r>
      <w:r>
        <w:rPr>
          <w:rFonts w:hint="eastAsia" w:ascii="仿宋_GB2312" w:eastAsia="仿宋_GB2312"/>
          <w:b w:val="0"/>
          <w:bCs w:val="0"/>
          <w:sz w:val="32"/>
          <w:szCs w:val="32"/>
        </w:rPr>
        <w:t>省级拨付资金和市级每年配套资金的培训标准为2000元/人，但实际执行的培训标准为1400元/人，因此培训人次实</w:t>
      </w:r>
      <w:r>
        <w:rPr>
          <w:rFonts w:hint="eastAsia" w:ascii="仿宋_GB2312" w:eastAsia="仿宋_GB2312"/>
          <w:sz w:val="32"/>
          <w:szCs w:val="32"/>
        </w:rPr>
        <w:t>际完成数远超任务数，绩效目标设置偏低。预期产出和效益设计不清晰，绩效指标不可衡量，未考虑项目产出、质量、社会效益等多方面的绩效指标，项目效益指标未设置。</w:t>
      </w:r>
    </w:p>
    <w:p>
      <w:pPr>
        <w:snapToGrid w:val="0"/>
        <w:spacing w:line="500" w:lineRule="atLeast"/>
        <w:ind w:firstLine="643" w:firstLineChars="200"/>
        <w:rPr>
          <w:rFonts w:ascii="仿宋" w:hAnsi="仿宋" w:eastAsia="仿宋"/>
          <w:sz w:val="32"/>
          <w:szCs w:val="32"/>
        </w:rPr>
      </w:pPr>
      <w:r>
        <w:rPr>
          <w:rFonts w:hint="eastAsia" w:ascii="仿宋" w:hAnsi="仿宋" w:eastAsia="仿宋"/>
          <w:b/>
          <w:bCs/>
          <w:sz w:val="32"/>
          <w:szCs w:val="32"/>
        </w:rPr>
        <w:t>（2）预算申报合理性仍有不足。</w:t>
      </w:r>
      <w:r>
        <w:rPr>
          <w:rFonts w:hint="eastAsia" w:ascii="仿宋" w:hAnsi="仿宋" w:eastAsia="仿宋"/>
          <w:sz w:val="32"/>
          <w:szCs w:val="32"/>
        </w:rPr>
        <w:t>考虑到每年度农民培训整体需求相近，市农业农村局以上一年度培训需求情况作为参考依据向省厅上报培训计划，但未能充分考虑当年度实际培训需求，导致预算申报数与实际执行数存在差异，预算申报合理性仍有不足。</w:t>
      </w:r>
    </w:p>
    <w:p>
      <w:pPr>
        <w:snapToGrid w:val="0"/>
        <w:spacing w:line="500" w:lineRule="atLeast"/>
        <w:ind w:firstLine="643" w:firstLineChars="200"/>
        <w:rPr>
          <w:rFonts w:hint="eastAsia" w:ascii="仿宋_GB2312" w:eastAsia="仿宋_GB2312"/>
          <w:sz w:val="32"/>
          <w:szCs w:val="32"/>
        </w:rPr>
      </w:pPr>
      <w:r>
        <w:rPr>
          <w:rFonts w:hint="eastAsia" w:ascii="仿宋" w:hAnsi="仿宋" w:eastAsia="仿宋"/>
          <w:b/>
          <w:bCs/>
          <w:sz w:val="32"/>
          <w:szCs w:val="32"/>
        </w:rPr>
        <w:t>（3）</w:t>
      </w:r>
      <w:r>
        <w:rPr>
          <w:rFonts w:hint="eastAsia" w:ascii="仿宋_GB2312" w:eastAsia="仿宋_GB2312"/>
          <w:b/>
          <w:bCs/>
          <w:sz w:val="32"/>
          <w:szCs w:val="32"/>
        </w:rPr>
        <w:t>预算标准不够细化。</w:t>
      </w:r>
      <w:r>
        <w:rPr>
          <w:rFonts w:hint="eastAsia" w:ascii="仿宋_GB2312" w:eastAsia="仿宋_GB2312"/>
          <w:sz w:val="32"/>
          <w:szCs w:val="32"/>
        </w:rPr>
        <w:t>对培训费用的标准设置不合理。项目人均培训费补助标准从2017年开始未作调整，不符合当前实际情况，未能对培训费用的构成进行单元化、因素化，培训费用标准确定缺乏依据。</w:t>
      </w:r>
    </w:p>
    <w:p>
      <w:pPr>
        <w:snapToGrid w:val="0"/>
        <w:spacing w:line="500" w:lineRule="atLeast"/>
        <w:ind w:firstLine="643" w:firstLineChars="200"/>
        <w:rPr>
          <w:rFonts w:ascii="仿宋_GB2312" w:eastAsia="仿宋_GB2312"/>
          <w:sz w:val="32"/>
          <w:szCs w:val="32"/>
        </w:rPr>
      </w:pPr>
      <w:r>
        <w:rPr>
          <w:rFonts w:hint="eastAsia" w:ascii="仿宋" w:hAnsi="仿宋" w:eastAsia="仿宋"/>
          <w:b/>
          <w:bCs/>
          <w:sz w:val="32"/>
          <w:szCs w:val="32"/>
        </w:rPr>
        <w:t>（4）</w:t>
      </w:r>
      <w:r>
        <w:rPr>
          <w:rFonts w:hint="eastAsia" w:eastAsia="仿宋_GB2312"/>
          <w:b/>
          <w:bCs/>
          <w:sz w:val="32"/>
          <w:szCs w:val="32"/>
        </w:rPr>
        <w:t>未实现政策生命全周期管理机制。</w:t>
      </w:r>
      <w:r>
        <w:rPr>
          <w:rFonts w:hint="eastAsia" w:eastAsia="仿宋_GB2312"/>
          <w:sz w:val="32"/>
          <w:szCs w:val="32"/>
        </w:rPr>
        <w:t>作为项目执行的责任主体，市农业农村局未能及时跟进农民培训政策的执行情况，对培训效果和培训成果转化缺乏必要的跟踪反馈，</w:t>
      </w:r>
      <w:r>
        <w:rPr>
          <w:rFonts w:hint="eastAsia" w:ascii="仿宋_GB2312" w:eastAsia="仿宋_GB2312"/>
          <w:sz w:val="32"/>
          <w:szCs w:val="32"/>
        </w:rPr>
        <w:t>预算绩效目标指标体系与标准体系不够完善，预算管理过于僵化，未充分考虑实际培训需求。对成本因素把握分析弱化，精准程度不足，无法真正衡量培训费的成本构成。培训项目各组织实施主体绩效跟踪责任意识不强，重任务完成数量，轻项目完成质量。</w:t>
      </w:r>
    </w:p>
    <w:p>
      <w:pPr>
        <w:widowControl/>
        <w:tabs>
          <w:tab w:val="left" w:pos="420"/>
        </w:tabs>
        <w:snapToGrid w:val="0"/>
        <w:spacing w:line="500" w:lineRule="atLeast"/>
        <w:ind w:firstLine="643" w:firstLineChars="200"/>
        <w:jc w:val="left"/>
        <w:rPr>
          <w:rFonts w:hint="eastAsia" w:ascii="仿宋" w:hAnsi="仿宋" w:eastAsia="仿宋"/>
          <w:sz w:val="32"/>
          <w:szCs w:val="32"/>
        </w:rPr>
      </w:pPr>
      <w:r>
        <w:rPr>
          <w:rFonts w:hint="eastAsia" w:eastAsia="仿宋_GB2312"/>
          <w:b/>
          <w:sz w:val="32"/>
          <w:szCs w:val="32"/>
        </w:rPr>
        <w:t>2.省级下拨至县级资金使用缺乏跟踪管理。</w:t>
      </w:r>
      <w:r>
        <w:rPr>
          <w:rFonts w:hint="eastAsia" w:ascii="仿宋" w:hAnsi="仿宋" w:eastAsia="仿宋"/>
          <w:sz w:val="32"/>
          <w:szCs w:val="32"/>
        </w:rPr>
        <w:t>2017-2019年，因</w:t>
      </w:r>
      <w:r>
        <w:rPr>
          <w:rFonts w:hint="eastAsia" w:ascii="仿宋_GB2312" w:eastAsia="仿宋_GB2312"/>
          <w:sz w:val="32"/>
          <w:szCs w:val="32"/>
        </w:rPr>
        <w:t>省级落实到市级的培训任务分解至县级，省级资金跟随任务直接下拨至县级</w:t>
      </w:r>
      <w:r>
        <w:rPr>
          <w:rFonts w:hint="eastAsia" w:eastAsia="仿宋_GB2312"/>
          <w:sz w:val="32"/>
          <w:szCs w:val="32"/>
        </w:rPr>
        <w:t>970万元</w:t>
      </w:r>
      <w:r>
        <w:rPr>
          <w:rFonts w:hint="eastAsia" w:ascii="仿宋_GB2312" w:hAnsi="黑体" w:eastAsia="仿宋_GB2312" w:cs="仿宋_GB2312"/>
          <w:kern w:val="0"/>
          <w:sz w:val="32"/>
          <w:szCs w:val="32"/>
        </w:rPr>
        <w:t>，实际支出</w:t>
      </w:r>
      <w:r>
        <w:rPr>
          <w:rFonts w:hint="eastAsia" w:ascii="仿宋" w:hAnsi="仿宋" w:eastAsia="仿宋"/>
          <w:sz w:val="32"/>
          <w:szCs w:val="32"/>
        </w:rPr>
        <w:t>590.23万元，资金执行率60.85%，</w:t>
      </w:r>
      <w:r>
        <w:rPr>
          <w:rFonts w:hint="eastAsia" w:ascii="仿宋_GB2312" w:eastAsia="仿宋_GB2312"/>
          <w:sz w:val="32"/>
          <w:szCs w:val="32"/>
        </w:rPr>
        <w:t>其余资金由县级财政统筹安排用于县级农民培训，市级对下拨至县级的省级资金使用情况缺乏有效的跟踪管理。</w:t>
      </w:r>
      <w:r>
        <w:rPr>
          <w:rFonts w:hint="eastAsia" w:ascii="仿宋" w:hAnsi="仿宋" w:eastAsia="仿宋"/>
          <w:sz w:val="32"/>
          <w:szCs w:val="32"/>
        </w:rPr>
        <w:t>如2017年市级培训任务除一笔科协油茶抚育培训班4.2万培训费在县级报销外，其他省级下拨到县级的资金（属于市级培训任务部分）均未使用，后续由县级财政统筹安排用于县级其他农民培训，但具体资金使用情况实际缺乏跟踪。</w:t>
      </w:r>
    </w:p>
    <w:p>
      <w:pPr>
        <w:pStyle w:val="3"/>
        <w:snapToGrid w:val="0"/>
        <w:spacing w:before="0" w:after="0" w:line="500" w:lineRule="atLeast"/>
        <w:ind w:firstLine="640" w:firstLineChars="200"/>
        <w:rPr>
          <w:rFonts w:hint="eastAsia" w:eastAsia="黑体"/>
          <w:b w:val="0"/>
          <w:bCs w:val="0"/>
          <w:sz w:val="32"/>
          <w:szCs w:val="32"/>
        </w:rPr>
      </w:pPr>
      <w:r>
        <w:rPr>
          <w:rFonts w:hint="eastAsia" w:eastAsia="黑体"/>
          <w:b w:val="0"/>
          <w:bCs w:val="0"/>
          <w:sz w:val="32"/>
          <w:szCs w:val="32"/>
        </w:rPr>
        <w:t>五、若干建议</w:t>
      </w:r>
      <w:bookmarkEnd w:id="16"/>
      <w:bookmarkEnd w:id="17"/>
      <w:bookmarkEnd w:id="18"/>
      <w:bookmarkStart w:id="20" w:name="_Toc72500217"/>
      <w:bookmarkStart w:id="21" w:name="_Toc74824871"/>
      <w:bookmarkStart w:id="22" w:name="_Toc31247"/>
      <w:bookmarkStart w:id="23" w:name="_Toc53941753"/>
    </w:p>
    <w:bookmarkEnd w:id="20"/>
    <w:bookmarkEnd w:id="21"/>
    <w:bookmarkEnd w:id="22"/>
    <w:bookmarkEnd w:id="23"/>
    <w:p>
      <w:pPr>
        <w:snapToGrid w:val="0"/>
        <w:spacing w:line="500" w:lineRule="atLeast"/>
        <w:ind w:firstLine="643" w:firstLineChars="200"/>
        <w:outlineLvl w:val="1"/>
        <w:rPr>
          <w:rFonts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（一）加强项目管理</w:t>
      </w:r>
    </w:p>
    <w:p>
      <w:pPr>
        <w:snapToGrid w:val="0"/>
        <w:spacing w:line="500" w:lineRule="atLeast"/>
        <w:ind w:left="630"/>
        <w:outlineLvl w:val="1"/>
        <w:rPr>
          <w:rFonts w:eastAsia="仿宋_GB2312"/>
          <w:b/>
          <w:bCs/>
          <w:sz w:val="32"/>
          <w:szCs w:val="32"/>
        </w:rPr>
      </w:pPr>
      <w:r>
        <w:rPr>
          <w:rFonts w:eastAsia="仿宋_GB2312"/>
          <w:b/>
          <w:bCs/>
          <w:sz w:val="32"/>
          <w:szCs w:val="32"/>
        </w:rPr>
        <w:t>1.</w:t>
      </w:r>
      <w:r>
        <w:rPr>
          <w:rFonts w:hint="eastAsia" w:eastAsia="仿宋_GB2312"/>
          <w:b/>
          <w:bCs/>
          <w:sz w:val="32"/>
          <w:szCs w:val="32"/>
        </w:rPr>
        <w:t>优化培训项目安排</w:t>
      </w:r>
    </w:p>
    <w:p>
      <w:pPr>
        <w:pStyle w:val="2"/>
        <w:snapToGrid w:val="0"/>
        <w:spacing w:line="500" w:lineRule="atLeast"/>
        <w:ind w:left="0" w:firstLine="643" w:firstLineChars="200"/>
        <w:rPr>
          <w:rFonts w:hint="eastAsia" w:ascii="仿宋" w:hAnsi="仿宋" w:eastAsia="仿宋"/>
          <w:sz w:val="32"/>
          <w:szCs w:val="32"/>
        </w:rPr>
      </w:pPr>
      <w:r>
        <w:rPr>
          <w:rFonts w:hint="eastAsia" w:ascii="Times New Roman" w:hAnsi="Times New Roman" w:eastAsia="仿宋_GB2312"/>
          <w:b/>
          <w:bCs/>
          <w:sz w:val="32"/>
          <w:szCs w:val="32"/>
        </w:rPr>
        <w:t>（1）增加紧缺人才培训项目。</w:t>
      </w:r>
      <w:r>
        <w:rPr>
          <w:rFonts w:hint="eastAsia" w:ascii="仿宋" w:hAnsi="仿宋" w:eastAsia="仿宋"/>
          <w:sz w:val="32"/>
          <w:szCs w:val="32"/>
        </w:rPr>
        <w:t>根据丽水市各类型农村实用人才结构，结合农业农村整体发展方向和发展需求，有针对性地增加紧缺人才的培训班次。根据丽水市农村实用人才统计数据显示，全市技能带动型人才相对较少，</w:t>
      </w:r>
      <w:r>
        <w:rPr>
          <w:rFonts w:hint="eastAsia" w:eastAsia="仿宋_GB2312"/>
          <w:sz w:val="32"/>
          <w:szCs w:val="32"/>
        </w:rPr>
        <w:t>农村社会治理类人才需求将逐年提高，</w:t>
      </w:r>
      <w:r>
        <w:rPr>
          <w:rFonts w:hint="eastAsia" w:ascii="仿宋" w:hAnsi="仿宋" w:eastAsia="仿宋"/>
          <w:sz w:val="32"/>
          <w:szCs w:val="32"/>
        </w:rPr>
        <w:t>可在今后相应增加培训项目。</w:t>
      </w:r>
    </w:p>
    <w:p>
      <w:pPr>
        <w:pStyle w:val="2"/>
        <w:snapToGrid w:val="0"/>
        <w:spacing w:line="500" w:lineRule="atLeast"/>
        <w:ind w:left="0" w:firstLine="643" w:firstLineChars="200"/>
        <w:rPr>
          <w:rFonts w:hint="eastAsia" w:ascii="仿宋" w:hAnsi="仿宋" w:eastAsia="仿宋"/>
          <w:sz w:val="32"/>
          <w:szCs w:val="32"/>
        </w:rPr>
      </w:pPr>
      <w:r>
        <w:rPr>
          <w:rFonts w:hint="eastAsia" w:ascii="仿宋" w:hAnsi="仿宋" w:eastAsia="仿宋"/>
          <w:b/>
          <w:bCs/>
          <w:sz w:val="32"/>
          <w:szCs w:val="32"/>
        </w:rPr>
        <w:t>（2）建立</w:t>
      </w:r>
      <w:r>
        <w:rPr>
          <w:rFonts w:hint="eastAsia" w:ascii="仿宋_GB2312" w:eastAsia="仿宋_GB2312"/>
          <w:b/>
          <w:bCs/>
          <w:sz w:val="32"/>
          <w:szCs w:val="32"/>
        </w:rPr>
        <w:t>需求调研机制。</w:t>
      </w:r>
      <w:r>
        <w:rPr>
          <w:rFonts w:hint="eastAsia" w:ascii="仿宋_GB2312" w:eastAsia="仿宋_GB2312"/>
          <w:sz w:val="32"/>
          <w:szCs w:val="32"/>
        </w:rPr>
        <w:t>主管单位要牵头建立培训需求调研机制，</w:t>
      </w:r>
      <w:r>
        <w:rPr>
          <w:rFonts w:hint="eastAsia" w:ascii="仿宋" w:hAnsi="仿宋" w:eastAsia="仿宋"/>
          <w:sz w:val="32"/>
          <w:szCs w:val="32"/>
        </w:rPr>
        <w:t>听取基层农民的心声，真正了解农民培训需求，并结合各主办单位的需求，科学合理确定培训项目内容。</w:t>
      </w:r>
    </w:p>
    <w:p>
      <w:pPr>
        <w:pStyle w:val="2"/>
        <w:snapToGrid w:val="0"/>
        <w:spacing w:line="500" w:lineRule="atLeast"/>
        <w:ind w:left="0" w:firstLine="643" w:firstLineChars="200"/>
        <w:rPr>
          <w:rFonts w:hint="eastAsia" w:ascii="仿宋_GB2312" w:eastAsia="仿宋_GB2312"/>
          <w:sz w:val="32"/>
          <w:szCs w:val="32"/>
        </w:rPr>
      </w:pPr>
      <w:r>
        <w:rPr>
          <w:rFonts w:hint="eastAsia" w:ascii="仿宋" w:hAnsi="仿宋" w:eastAsia="仿宋"/>
          <w:b/>
          <w:bCs/>
          <w:sz w:val="32"/>
          <w:szCs w:val="32"/>
        </w:rPr>
        <w:t>（3）明确参训人员条件。</w:t>
      </w:r>
      <w:r>
        <w:rPr>
          <w:rFonts w:hint="eastAsia" w:ascii="仿宋" w:hAnsi="仿宋" w:eastAsia="仿宋"/>
          <w:sz w:val="32"/>
          <w:szCs w:val="32"/>
        </w:rPr>
        <w:t>市农业农村局及各主办单位应根据项目内容明确参训人员条件，各县（市、区）做好参训人员报名和推荐工作，市农业农村局和各主办单位要</w:t>
      </w:r>
      <w:r>
        <w:rPr>
          <w:rFonts w:hint="eastAsia" w:ascii="仿宋_GB2312" w:eastAsia="仿宋_GB2312"/>
          <w:sz w:val="32"/>
          <w:szCs w:val="32"/>
        </w:rPr>
        <w:t>对参训人员匹配度进行有效控制。</w:t>
      </w:r>
    </w:p>
    <w:p>
      <w:pPr>
        <w:pStyle w:val="2"/>
        <w:snapToGrid w:val="0"/>
        <w:spacing w:line="500" w:lineRule="atLeast"/>
        <w:ind w:left="0" w:firstLine="643" w:firstLineChars="200"/>
        <w:rPr>
          <w:rFonts w:hint="eastAsia" w:ascii="仿宋" w:hAnsi="仿宋" w:eastAsia="仿宋"/>
          <w:sz w:val="32"/>
          <w:szCs w:val="32"/>
        </w:rPr>
      </w:pPr>
      <w:r>
        <w:rPr>
          <w:rFonts w:hint="eastAsia" w:ascii="仿宋" w:hAnsi="仿宋" w:eastAsia="仿宋"/>
          <w:b/>
          <w:bCs/>
          <w:sz w:val="32"/>
          <w:szCs w:val="32"/>
        </w:rPr>
        <w:t>（4）做好培训课程设计。</w:t>
      </w:r>
      <w:r>
        <w:rPr>
          <w:rFonts w:hint="eastAsia" w:ascii="仿宋" w:hAnsi="仿宋" w:eastAsia="仿宋"/>
          <w:b w:val="0"/>
          <w:bCs w:val="0"/>
          <w:sz w:val="32"/>
          <w:szCs w:val="32"/>
        </w:rPr>
        <w:t>一是</w:t>
      </w:r>
      <w:r>
        <w:rPr>
          <w:rFonts w:hint="eastAsia" w:ascii="仿宋" w:hAnsi="仿宋" w:eastAsia="仿宋"/>
          <w:sz w:val="32"/>
          <w:szCs w:val="32"/>
        </w:rPr>
        <w:t>课程设计要贴合培训项目主题，紧跟参训对象需求和丽水市农业农村发展现状，避免出现课程过于空泛、不切实际的情况。</w:t>
      </w:r>
      <w:r>
        <w:rPr>
          <w:rFonts w:hint="eastAsia" w:ascii="仿宋" w:hAnsi="仿宋" w:eastAsia="仿宋"/>
          <w:b w:val="0"/>
          <w:bCs w:val="0"/>
          <w:sz w:val="32"/>
          <w:szCs w:val="32"/>
        </w:rPr>
        <w:t>二是</w:t>
      </w:r>
      <w:r>
        <w:rPr>
          <w:rFonts w:hint="eastAsia" w:ascii="仿宋" w:hAnsi="仿宋" w:eastAsia="仿宋"/>
          <w:sz w:val="32"/>
          <w:szCs w:val="32"/>
        </w:rPr>
        <w:t>要加强与科研机构、高校、农业技术推广机构以及涉农企业的交流合作，把握产业发展导向。</w:t>
      </w:r>
    </w:p>
    <w:p>
      <w:pPr>
        <w:widowControl/>
        <w:snapToGrid w:val="0"/>
        <w:spacing w:line="500" w:lineRule="atLeast"/>
        <w:ind w:firstLine="643" w:firstLineChars="200"/>
        <w:jc w:val="left"/>
        <w:rPr>
          <w:rFonts w:eastAsia="仿宋_GB2312"/>
          <w:bCs/>
          <w:color w:val="FF0000"/>
          <w:sz w:val="32"/>
          <w:szCs w:val="32"/>
        </w:rPr>
      </w:pPr>
      <w:r>
        <w:rPr>
          <w:rFonts w:hint="eastAsia" w:ascii="仿宋" w:hAnsi="仿宋" w:eastAsia="仿宋" w:cs="仿宋"/>
          <w:b/>
          <w:bCs/>
          <w:sz w:val="32"/>
          <w:szCs w:val="32"/>
        </w:rPr>
        <w:t>（5）合理设置培训模式。</w:t>
      </w:r>
      <w:r>
        <w:rPr>
          <w:rFonts w:hint="eastAsia" w:ascii="仿宋" w:hAnsi="仿宋" w:eastAsia="仿宋" w:cs="仿宋"/>
          <w:sz w:val="32"/>
          <w:szCs w:val="32"/>
        </w:rPr>
        <w:t>根据课程内容灵活设置、合理安排培训模式，结合培训内容和课程要求，调整培训天数和实训时间占比。部分产业、技能方面的课程，若需前往市外培训，可根据实际需求适当延长实训时间，避免出现走马观花的情况。</w:t>
      </w:r>
    </w:p>
    <w:p>
      <w:pPr>
        <w:pStyle w:val="2"/>
        <w:snapToGrid w:val="0"/>
        <w:spacing w:line="500" w:lineRule="atLeast"/>
        <w:ind w:left="0" w:firstLine="643" w:firstLineChars="200"/>
        <w:outlineLvl w:val="1"/>
        <w:rPr>
          <w:rFonts w:hint="eastAsia" w:ascii="Times New Roman" w:hAnsi="Times New Roman" w:eastAsia="仿宋_GB2312"/>
          <w:bCs/>
          <w:sz w:val="32"/>
          <w:szCs w:val="32"/>
        </w:rPr>
      </w:pPr>
      <w:r>
        <w:rPr>
          <w:rFonts w:hint="eastAsia" w:ascii="Times New Roman" w:hAnsi="Times New Roman" w:eastAsia="仿宋_GB2312"/>
          <w:b/>
          <w:bCs/>
          <w:sz w:val="32"/>
          <w:szCs w:val="32"/>
        </w:rPr>
        <w:t>2</w:t>
      </w:r>
      <w:r>
        <w:rPr>
          <w:rFonts w:ascii="Times New Roman" w:hAnsi="Times New Roman" w:eastAsia="仿宋_GB2312"/>
          <w:b/>
          <w:bCs/>
          <w:sz w:val="32"/>
          <w:szCs w:val="32"/>
        </w:rPr>
        <w:t>.</w:t>
      </w:r>
      <w:r>
        <w:rPr>
          <w:rFonts w:hint="eastAsia" w:ascii="Times New Roman" w:hAnsi="Times New Roman" w:eastAsia="仿宋_GB2312"/>
          <w:b/>
          <w:bCs/>
          <w:sz w:val="32"/>
          <w:szCs w:val="32"/>
        </w:rPr>
        <w:t>严格按计划实施培训项目。</w:t>
      </w:r>
      <w:r>
        <w:rPr>
          <w:rFonts w:hint="eastAsia" w:ascii="Times New Roman" w:hAnsi="Times New Roman" w:eastAsia="仿宋_GB2312"/>
          <w:bCs/>
          <w:sz w:val="32"/>
          <w:szCs w:val="32"/>
        </w:rPr>
        <w:t>在充分论证的基础上，合理制定年度培训计划，各主办单位要严格按照年度计划开展培训，对确需合并办班、取消或变更办班的应在事前进行充分论证评估，确保各项培训任务在当年度完成。</w:t>
      </w:r>
    </w:p>
    <w:p>
      <w:pPr>
        <w:snapToGrid w:val="0"/>
        <w:spacing w:line="500" w:lineRule="atLeast"/>
        <w:outlineLvl w:val="1"/>
        <w:rPr>
          <w:rFonts w:hint="eastAsia" w:eastAsia="仿宋_GB2312"/>
          <w:bCs/>
          <w:color w:val="FF0000"/>
          <w:sz w:val="32"/>
          <w:szCs w:val="32"/>
        </w:rPr>
      </w:pPr>
      <w:r>
        <w:rPr>
          <w:rFonts w:hint="eastAsia" w:eastAsia="仿宋_GB2312"/>
          <w:b/>
          <w:bCs/>
          <w:sz w:val="32"/>
          <w:szCs w:val="32"/>
        </w:rPr>
        <w:t xml:space="preserve">    3.规范政府购买服务管理。</w:t>
      </w:r>
      <w:r>
        <w:rPr>
          <w:rFonts w:hint="eastAsia" w:eastAsia="仿宋_GB2312"/>
          <w:bCs/>
          <w:sz w:val="32"/>
          <w:szCs w:val="32"/>
        </w:rPr>
        <w:t>实施细则中不应直接指定具体的培训机构，避免出现不必要的政策风险，应通过明确准入标准的方式选择培训机构。在采购方式选择上，应按照《政府购买服务管理办法》（财政部令第102号）和</w:t>
      </w:r>
      <w:r>
        <w:rPr>
          <w:rFonts w:hint="eastAsia" w:ascii="仿宋_GB2312" w:eastAsia="仿宋_GB2312"/>
          <w:sz w:val="32"/>
          <w:szCs w:val="32"/>
        </w:rPr>
        <w:t>《浙江省财政厅关于进一步规范政府购买服务采购管理的通知》（浙财采监〔2021〕2号）的相关规定，基于适当性、效益性原则，在保证项目质量的基础上，采用</w:t>
      </w:r>
      <w:r>
        <w:rPr>
          <w:rFonts w:hint="eastAsia" w:eastAsia="仿宋_GB2312"/>
          <w:bCs/>
          <w:sz w:val="32"/>
          <w:szCs w:val="32"/>
        </w:rPr>
        <w:t>竞争性非招标采购方式，依法选择合适的培训机构。</w:t>
      </w:r>
    </w:p>
    <w:p>
      <w:pPr>
        <w:snapToGrid w:val="0"/>
        <w:spacing w:line="500" w:lineRule="atLeast"/>
        <w:outlineLvl w:val="1"/>
        <w:rPr>
          <w:rFonts w:eastAsia="仿宋_GB2312"/>
          <w:bCs/>
          <w:sz w:val="30"/>
          <w:szCs w:val="30"/>
        </w:rPr>
      </w:pPr>
      <w:r>
        <w:rPr>
          <w:rFonts w:hint="eastAsia" w:eastAsia="仿宋_GB2312"/>
          <w:b/>
          <w:bCs/>
          <w:sz w:val="32"/>
          <w:szCs w:val="32"/>
        </w:rPr>
        <w:t xml:space="preserve">   </w:t>
      </w:r>
      <w:r>
        <w:rPr>
          <w:rFonts w:hint="eastAsia" w:eastAsia="仿宋_GB2312"/>
          <w:b/>
          <w:bCs/>
          <w:sz w:val="30"/>
          <w:szCs w:val="30"/>
        </w:rPr>
        <w:t xml:space="preserve"> 4.加强培训机构师资队伍建设。</w:t>
      </w:r>
      <w:r>
        <w:rPr>
          <w:rFonts w:hint="eastAsia" w:eastAsia="仿宋_GB2312"/>
          <w:bCs/>
          <w:sz w:val="30"/>
          <w:szCs w:val="30"/>
        </w:rPr>
        <w:t>市级农民实用人才培训属于中级培训，对培训机构师资力量要求较高。因此，各培训机构要建立优质的外部培训师资库，还要加强自有师资队伍建设，进一步强化师资培训，提高教学质量，建立起以自有师资队伍为主，以外部师资力量为辅的全方位、多层次、多领域的培训师资体系。</w:t>
      </w:r>
    </w:p>
    <w:p>
      <w:pPr>
        <w:pStyle w:val="2"/>
        <w:snapToGrid w:val="0"/>
        <w:spacing w:line="500" w:lineRule="atLeast"/>
        <w:ind w:left="0" w:firstLine="602" w:firstLineChars="200"/>
        <w:rPr>
          <w:rFonts w:ascii="Times New Roman" w:hAnsi="Times New Roman" w:eastAsia="仿宋_GB2312"/>
          <w:bCs/>
          <w:sz w:val="30"/>
          <w:szCs w:val="30"/>
        </w:rPr>
      </w:pPr>
      <w:r>
        <w:rPr>
          <w:rFonts w:hint="eastAsia" w:eastAsia="仿宋_GB2312"/>
          <w:b/>
          <w:bCs/>
          <w:sz w:val="30"/>
          <w:szCs w:val="30"/>
        </w:rPr>
        <w:t>5.加强现场管理及项目验收。</w:t>
      </w:r>
      <w:r>
        <w:rPr>
          <w:rFonts w:hint="eastAsia" w:ascii="Times New Roman" w:hAnsi="Times New Roman" w:eastAsia="仿宋_GB2312"/>
          <w:bCs/>
          <w:sz w:val="30"/>
          <w:szCs w:val="30"/>
        </w:rPr>
        <w:t>各培训机构要做好学员日常管理，落实考勤签到制度，了解学员学习状态。同时，要把握教师的教学质量，跟进学员学习进度，做好学员需求的反馈工作。各主办单位要做好现场教学的监督管理，包括教学质量的现场检查记录、学员的满意度调查，并形成教学评估报告，作为项目验收的依据。</w:t>
      </w:r>
    </w:p>
    <w:p>
      <w:pPr>
        <w:snapToGrid w:val="0"/>
        <w:spacing w:line="500" w:lineRule="atLeast"/>
        <w:outlineLvl w:val="1"/>
        <w:rPr>
          <w:rFonts w:hint="eastAsia" w:eastAsia="仿宋_GB2312"/>
          <w:bCs/>
          <w:sz w:val="32"/>
          <w:szCs w:val="32"/>
        </w:rPr>
      </w:pPr>
      <w:r>
        <w:rPr>
          <w:rFonts w:hint="eastAsia" w:eastAsia="仿宋_GB2312"/>
          <w:b/>
          <w:bCs/>
          <w:sz w:val="30"/>
          <w:szCs w:val="30"/>
        </w:rPr>
        <w:t xml:space="preserve">    6.加强项目跟踪。</w:t>
      </w:r>
      <w:r>
        <w:rPr>
          <w:rFonts w:hint="eastAsia" w:eastAsia="仿宋_GB2312"/>
          <w:bCs/>
          <w:sz w:val="32"/>
          <w:szCs w:val="32"/>
        </w:rPr>
        <w:t>培训效果跟踪是培训工作的重要组成部分，市农业农村局要建立培训效果跟踪机制，确定责任主体和跟踪方式，及时听取学员建议，掌握学员能力提升、培训效果转化情况，可将之作为下</w:t>
      </w:r>
      <w:r>
        <w:rPr>
          <w:rFonts w:hint="eastAsia" w:eastAsia="仿宋_GB2312"/>
          <w:bCs/>
          <w:sz w:val="32"/>
          <w:szCs w:val="32"/>
          <w:lang w:eastAsia="zh-CN"/>
        </w:rPr>
        <w:t>一步</w:t>
      </w:r>
      <w:r>
        <w:rPr>
          <w:rFonts w:hint="eastAsia" w:eastAsia="仿宋_GB2312"/>
          <w:bCs/>
          <w:sz w:val="32"/>
          <w:szCs w:val="32"/>
        </w:rPr>
        <w:t>培训计划的参考依据。</w:t>
      </w:r>
    </w:p>
    <w:p>
      <w:pPr>
        <w:snapToGrid w:val="0"/>
        <w:spacing w:line="500" w:lineRule="atLeast"/>
        <w:ind w:firstLine="643" w:firstLineChars="200"/>
        <w:outlineLvl w:val="1"/>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（二）全方位推进预算绩效管理</w:t>
      </w:r>
    </w:p>
    <w:p>
      <w:pPr>
        <w:snapToGrid w:val="0"/>
        <w:spacing w:line="500" w:lineRule="atLeast"/>
        <w:outlineLvl w:val="1"/>
        <w:rPr>
          <w:rFonts w:hint="eastAsia" w:eastAsia="仿宋_GB2312"/>
          <w:bCs/>
          <w:sz w:val="32"/>
          <w:szCs w:val="32"/>
        </w:rPr>
      </w:pPr>
      <w:r>
        <w:rPr>
          <w:rFonts w:hint="eastAsia" w:eastAsia="仿宋_GB2312"/>
          <w:b/>
          <w:bCs/>
          <w:sz w:val="32"/>
          <w:szCs w:val="32"/>
        </w:rPr>
        <w:t xml:space="preserve">    </w:t>
      </w:r>
      <w:r>
        <w:rPr>
          <w:rFonts w:eastAsia="仿宋_GB2312"/>
          <w:b/>
          <w:bCs/>
          <w:sz w:val="32"/>
          <w:szCs w:val="32"/>
        </w:rPr>
        <w:t>1.</w:t>
      </w:r>
      <w:r>
        <w:rPr>
          <w:rFonts w:hint="eastAsia" w:eastAsia="仿宋_GB2312"/>
          <w:b/>
          <w:bCs/>
          <w:sz w:val="32"/>
          <w:szCs w:val="32"/>
        </w:rPr>
        <w:t>完善预算绩效目标体系。</w:t>
      </w:r>
      <w:r>
        <w:rPr>
          <w:rFonts w:hint="eastAsia" w:eastAsia="仿宋_GB2312"/>
          <w:bCs/>
          <w:sz w:val="32"/>
          <w:szCs w:val="32"/>
        </w:rPr>
        <w:t>根据丽水市农民培训工作的总体要求，市农业农村局要制定科学、明确、可衡量的农民培训年度政策目标</w:t>
      </w:r>
      <w:r>
        <w:rPr>
          <w:rFonts w:hint="eastAsia" w:eastAsia="仿宋_GB2312"/>
          <w:bCs/>
          <w:color w:val="FF0000"/>
          <w:sz w:val="32"/>
          <w:szCs w:val="32"/>
        </w:rPr>
        <w:t>，</w:t>
      </w:r>
      <w:r>
        <w:rPr>
          <w:rFonts w:hint="eastAsia" w:eastAsia="仿宋_GB2312"/>
          <w:bCs/>
          <w:sz w:val="32"/>
          <w:szCs w:val="32"/>
        </w:rPr>
        <w:t>并围绕产出数量、质量和预期效益，制定具体的绩效指标</w:t>
      </w:r>
      <w:r>
        <w:rPr>
          <w:rFonts w:hint="eastAsia" w:eastAsia="仿宋_GB2312"/>
          <w:bCs/>
          <w:color w:val="FF0000"/>
          <w:sz w:val="32"/>
          <w:szCs w:val="32"/>
        </w:rPr>
        <w:t>。</w:t>
      </w:r>
      <w:r>
        <w:rPr>
          <w:rFonts w:hint="eastAsia" w:eastAsia="仿宋_GB2312"/>
          <w:bCs/>
          <w:sz w:val="32"/>
          <w:szCs w:val="32"/>
        </w:rPr>
        <w:t>绩效指标设置要以政策目标为基础，突出结果导向，重点考核实绩。</w:t>
      </w:r>
    </w:p>
    <w:p>
      <w:pPr>
        <w:snapToGrid w:val="0"/>
        <w:spacing w:line="500" w:lineRule="atLeast"/>
        <w:outlineLvl w:val="1"/>
        <w:rPr>
          <w:rFonts w:eastAsia="仿宋_GB2312"/>
          <w:bCs/>
          <w:sz w:val="32"/>
          <w:szCs w:val="32"/>
        </w:rPr>
      </w:pPr>
      <w:r>
        <w:rPr>
          <w:rFonts w:hint="eastAsia" w:eastAsia="仿宋_GB2312"/>
          <w:b/>
          <w:bCs/>
          <w:sz w:val="32"/>
          <w:szCs w:val="32"/>
        </w:rPr>
        <w:t xml:space="preserve">    2</w:t>
      </w:r>
      <w:r>
        <w:rPr>
          <w:rFonts w:eastAsia="仿宋_GB2312"/>
          <w:b/>
          <w:bCs/>
          <w:sz w:val="32"/>
          <w:szCs w:val="32"/>
        </w:rPr>
        <w:t>.</w:t>
      </w:r>
      <w:r>
        <w:rPr>
          <w:rFonts w:hint="eastAsia" w:eastAsia="仿宋_GB2312"/>
          <w:b/>
          <w:bCs/>
          <w:sz w:val="32"/>
          <w:szCs w:val="32"/>
        </w:rPr>
        <w:t>建立项目支出标准体系。</w:t>
      </w:r>
      <w:r>
        <w:rPr>
          <w:rFonts w:hint="eastAsia" w:eastAsia="仿宋_GB2312"/>
          <w:bCs/>
          <w:sz w:val="32"/>
          <w:szCs w:val="32"/>
        </w:rPr>
        <w:t>项目支出标准体系建设是项目管理的重要基础性工作，是推进预算管理科学化、规范化和有效性的重要手段。市农业农村局对培训费用支出标准要做好</w:t>
      </w:r>
      <w:r>
        <w:rPr>
          <w:rFonts w:hint="eastAsia" w:ascii="仿宋_GB2312" w:eastAsia="仿宋_GB2312"/>
          <w:sz w:val="32"/>
          <w:szCs w:val="32"/>
        </w:rPr>
        <w:t>成本单元化因素化</w:t>
      </w:r>
      <w:r>
        <w:rPr>
          <w:rFonts w:hint="eastAsia" w:eastAsia="仿宋_GB2312"/>
          <w:bCs/>
          <w:sz w:val="32"/>
          <w:szCs w:val="32"/>
        </w:rPr>
        <w:t>，合理评估培训费用的成本构成，做好成本单元的切分。支出标准的确定要经济合理、简便易行，与经济发展水平、物价总体水平、财力状况以及预算安排情况相衔接，实现支出标准的定期动态调整</w:t>
      </w:r>
      <w:r>
        <w:rPr>
          <w:rFonts w:eastAsia="仿宋_GB2312"/>
          <w:bCs/>
          <w:sz w:val="32"/>
          <w:szCs w:val="32"/>
        </w:rPr>
        <w:t>。</w:t>
      </w:r>
    </w:p>
    <w:p>
      <w:pPr>
        <w:snapToGrid w:val="0"/>
        <w:spacing w:line="500" w:lineRule="atLeast"/>
        <w:outlineLvl w:val="1"/>
        <w:rPr>
          <w:rFonts w:hint="eastAsia" w:eastAsia="仿宋_GB2312"/>
          <w:bCs/>
          <w:sz w:val="32"/>
          <w:szCs w:val="32"/>
        </w:rPr>
      </w:pPr>
      <w:r>
        <w:rPr>
          <w:rFonts w:hint="eastAsia" w:eastAsia="仿宋_GB2312"/>
          <w:b/>
          <w:bCs/>
          <w:sz w:val="32"/>
          <w:szCs w:val="32"/>
        </w:rPr>
        <w:t xml:space="preserve">    3</w:t>
      </w:r>
      <w:r>
        <w:rPr>
          <w:rFonts w:eastAsia="仿宋_GB2312"/>
          <w:b/>
          <w:bCs/>
          <w:sz w:val="32"/>
          <w:szCs w:val="32"/>
        </w:rPr>
        <w:t>.</w:t>
      </w:r>
      <w:r>
        <w:rPr>
          <w:rFonts w:hint="eastAsia" w:eastAsia="仿宋_GB2312"/>
          <w:b/>
          <w:bCs/>
          <w:sz w:val="32"/>
          <w:szCs w:val="32"/>
        </w:rPr>
        <w:t>探索建立全成本效益管理机制。</w:t>
      </w:r>
      <w:r>
        <w:rPr>
          <w:rFonts w:hint="eastAsia" w:eastAsia="仿宋_GB2312"/>
          <w:b w:val="0"/>
          <w:bCs/>
          <w:sz w:val="32"/>
          <w:szCs w:val="32"/>
        </w:rPr>
        <w:t>一是</w:t>
      </w:r>
      <w:r>
        <w:rPr>
          <w:rFonts w:hint="eastAsia" w:eastAsia="仿宋_GB2312"/>
          <w:bCs/>
          <w:sz w:val="32"/>
          <w:szCs w:val="32"/>
        </w:rPr>
        <w:t>做好精细化管理。践行精细化理念，对项目实施每个环节、流程、步骤、细节开展精细管控、精准管理，注重加强资源统筹整合，充分利用现有资产和资源，实现集中共享、经济节约。</w:t>
      </w:r>
      <w:r>
        <w:rPr>
          <w:rFonts w:hint="eastAsia" w:eastAsia="仿宋_GB2312"/>
          <w:b w:val="0"/>
          <w:bCs/>
          <w:sz w:val="32"/>
          <w:szCs w:val="32"/>
        </w:rPr>
        <w:t>二是</w:t>
      </w:r>
      <w:r>
        <w:rPr>
          <w:rFonts w:hint="eastAsia" w:eastAsia="仿宋_GB2312"/>
          <w:bCs/>
          <w:sz w:val="32"/>
          <w:szCs w:val="32"/>
        </w:rPr>
        <w:t>科学规范，健全体系。通过成本绩效分析，在项目支出标准体系的基础上，合理评估项目预算，打破项目预算“基数+增长”模式，增强预算控制力和约束力，不断提升财政资金的科学化、精细化管理水平。</w:t>
      </w:r>
      <w:r>
        <w:rPr>
          <w:rFonts w:hint="eastAsia" w:eastAsia="仿宋_GB2312"/>
          <w:b w:val="0"/>
          <w:bCs/>
          <w:sz w:val="32"/>
          <w:szCs w:val="32"/>
        </w:rPr>
        <w:t>三是</w:t>
      </w:r>
      <w:r>
        <w:rPr>
          <w:rFonts w:hint="eastAsia" w:eastAsia="仿宋_GB2312"/>
          <w:bCs/>
          <w:sz w:val="32"/>
          <w:szCs w:val="32"/>
        </w:rPr>
        <w:t>精准管控，降本增效。成本分析与控制要与目标实现“无缝对接”。培训项目成本支出要与项目绩效指标和标准相匹配，注重结果导向，突出项目支出的精准有效。要通过成本绩效分析，根据培训效益情况，优化培训项目安排，在保障效益的基础上，避免不必要的培训开支，例如在培训师资、实训基地等选择上要充分利用现有资源，寻找有效降低成本的途径和方法，实现降本增效的目的，让有限的财政资金发挥出最大效益，确保财力有效转为保障力，以促进农民培训项目的高质量推进。</w:t>
      </w:r>
    </w:p>
    <w:p>
      <w:pPr>
        <w:pStyle w:val="2"/>
        <w:jc w:val="left"/>
        <w:rPr>
          <w:rFonts w:hint="eastAsia" w:eastAsia="仿宋_GB2312"/>
          <w:bCs/>
          <w:sz w:val="32"/>
          <w:szCs w:val="32"/>
        </w:rPr>
      </w:pPr>
      <w:r>
        <w:rPr>
          <w:rFonts w:hint="eastAsia" w:eastAsia="仿宋_GB2312"/>
          <w:b/>
          <w:bCs/>
          <w:sz w:val="32"/>
          <w:szCs w:val="32"/>
        </w:rPr>
        <w:t xml:space="preserve">  4</w:t>
      </w:r>
      <w:r>
        <w:rPr>
          <w:rFonts w:eastAsia="仿宋_GB2312"/>
          <w:b/>
          <w:bCs/>
          <w:sz w:val="32"/>
          <w:szCs w:val="32"/>
        </w:rPr>
        <w:t>.</w:t>
      </w:r>
      <w:r>
        <w:rPr>
          <w:rFonts w:hint="eastAsia" w:eastAsia="仿宋_GB2312"/>
          <w:b/>
          <w:bCs/>
          <w:sz w:val="32"/>
          <w:szCs w:val="32"/>
        </w:rPr>
        <w:t>建立健全预算执行和绩效目标运行双监控机制。</w:t>
      </w:r>
      <w:r>
        <w:rPr>
          <w:rFonts w:hint="eastAsia" w:eastAsia="仿宋_GB2312"/>
          <w:bCs/>
          <w:sz w:val="32"/>
          <w:szCs w:val="32"/>
        </w:rPr>
        <w:t>以绩效目标为核心，围绕绩效目标完成情况、预算执行情况等建立健全预算绩效运行监控工作机制，确保政策、业务和资金的全面融合。市农业农村局要厘清预算资金使用情况，明确</w:t>
      </w:r>
      <w:r>
        <w:rPr>
          <w:rFonts w:eastAsia="仿宋_GB2312"/>
          <w:bCs/>
          <w:sz w:val="32"/>
          <w:szCs w:val="32"/>
        </w:rPr>
        <w:t>资金使用范围</w:t>
      </w:r>
      <w:r>
        <w:rPr>
          <w:rFonts w:hint="eastAsia" w:eastAsia="仿宋_GB2312"/>
          <w:bCs/>
          <w:sz w:val="32"/>
          <w:szCs w:val="32"/>
        </w:rPr>
        <w:t>与</w:t>
      </w:r>
      <w:r>
        <w:rPr>
          <w:rFonts w:eastAsia="仿宋_GB2312"/>
          <w:bCs/>
          <w:sz w:val="32"/>
          <w:szCs w:val="32"/>
        </w:rPr>
        <w:t>使用依据</w:t>
      </w:r>
      <w:r>
        <w:rPr>
          <w:rFonts w:hint="eastAsia" w:eastAsia="仿宋_GB2312"/>
          <w:bCs/>
          <w:sz w:val="32"/>
          <w:szCs w:val="32"/>
        </w:rPr>
        <w:t>，对</w:t>
      </w:r>
      <w:r>
        <w:rPr>
          <w:rFonts w:eastAsia="仿宋_GB2312"/>
          <w:bCs/>
          <w:sz w:val="32"/>
          <w:szCs w:val="32"/>
        </w:rPr>
        <w:t>下拨至县</w:t>
      </w:r>
      <w:r>
        <w:rPr>
          <w:rFonts w:hint="eastAsia" w:eastAsia="仿宋_GB2312"/>
          <w:bCs/>
          <w:sz w:val="32"/>
          <w:szCs w:val="32"/>
        </w:rPr>
        <w:t>级的资金</w:t>
      </w:r>
      <w:r>
        <w:rPr>
          <w:rFonts w:eastAsia="仿宋_GB2312"/>
          <w:bCs/>
          <w:sz w:val="32"/>
          <w:szCs w:val="32"/>
        </w:rPr>
        <w:t>使用</w:t>
      </w:r>
      <w:r>
        <w:rPr>
          <w:rFonts w:hint="eastAsia" w:eastAsia="仿宋_GB2312"/>
          <w:bCs/>
          <w:sz w:val="32"/>
          <w:szCs w:val="32"/>
        </w:rPr>
        <w:t>情况要做好跟踪。根据“双监控”要求，监控工作可按照年度培训计划的实际执行情况，采用定期和不定期两种方式进行监控，即按半年度对培训计划执行情况和培训绩效目标完成情况定期监控或结合各培训计划的执行进度进行不定期动态监控。</w:t>
      </w:r>
    </w:p>
    <w:p>
      <w:pPr>
        <w:pStyle w:val="2"/>
        <w:jc w:val="left"/>
        <w:rPr>
          <w:rFonts w:hint="eastAsia" w:eastAsia="仿宋_GB2312"/>
          <w:bCs/>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仿宋_GB2312" w:eastAsia="仿宋_GB2312" w:cs="仿宋_GB2312"/>
          <w:kern w:val="0"/>
          <w:sz w:val="28"/>
          <w:szCs w:val="28"/>
          <w:lang w:val="en"/>
        </w:rPr>
      </w:pPr>
      <w:r>
        <w:rPr>
          <w:rFonts w:hint="eastAsia" w:ascii="仿宋_GB2312" w:eastAsia="仿宋_GB2312" w:cs="仿宋_GB2312"/>
          <w:kern w:val="0"/>
          <w:sz w:val="28"/>
          <w:szCs w:val="28"/>
        </w:rPr>
        <w:t>（第三方评价机构：</w:t>
      </w:r>
      <w:r>
        <w:rPr>
          <w:rFonts w:hint="eastAsia" w:ascii="仿宋_GB2312" w:eastAsia="仿宋_GB2312"/>
          <w:sz w:val="32"/>
          <w:u w:val="none"/>
        </w:rPr>
        <w:t>浙江闰政管理咨询有限责任公司</w:t>
      </w:r>
      <w:r>
        <w:rPr>
          <w:rFonts w:hint="default" w:ascii="仿宋_GB2312" w:eastAsia="仿宋_GB2312"/>
          <w:sz w:val="32"/>
          <w:u w:val="none"/>
          <w:lang w:val="en"/>
        </w:rPr>
        <w:t>）</w:t>
      </w: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pPr>
        <w:pStyle w:val="2"/>
        <w:jc w:val="left"/>
        <w:rPr>
          <w:rFonts w:hint="default" w:eastAsia="仿宋_GB2312"/>
          <w:bCs/>
          <w:sz w:val="32"/>
          <w:szCs w:val="32"/>
          <w:lang w:val="en"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5"/>
      </w:pPr>
      <w:r>
        <w:rPr>
          <w:rStyle w:val="8"/>
        </w:rPr>
        <w:footnoteRef/>
      </w:r>
      <w:r>
        <w:t>1.</w:t>
      </w:r>
      <w:r>
        <w:rPr>
          <w:rFonts w:hint="eastAsia"/>
        </w:rPr>
        <w:t>《关于下达2016年度农家乐提升发展和农民培训任务的通知》（浙农办〔2016〕35号）</w:t>
      </w:r>
    </w:p>
    <w:p>
      <w:pPr>
        <w:pStyle w:val="5"/>
        <w:rPr>
          <w:rFonts w:hint="eastAsia"/>
        </w:rPr>
      </w:pPr>
      <w:r>
        <w:rPr>
          <w:rFonts w:hint="eastAsia"/>
        </w:rPr>
        <w:t>2</w:t>
      </w:r>
      <w:r>
        <w:t>.</w:t>
      </w:r>
      <w:r>
        <w:rPr>
          <w:rFonts w:hint="eastAsia"/>
        </w:rPr>
        <w:t>《关于下达2017年度丽水市农民素质提升工程培训计划的通知》（丽农劳训办〔2017〕2号）</w:t>
      </w:r>
    </w:p>
    <w:p>
      <w:pPr>
        <w:pStyle w:val="5"/>
      </w:pPr>
      <w:r>
        <w:t>3.</w:t>
      </w:r>
      <w:r>
        <w:rPr>
          <w:rFonts w:hint="eastAsia"/>
        </w:rPr>
        <w:t>《关于下达2018年度农家乐和农民培训计划的通知》（浙农办〔2018〕36号）</w:t>
      </w:r>
    </w:p>
    <w:p>
      <w:pPr>
        <w:pStyle w:val="5"/>
      </w:pPr>
      <w:r>
        <w:t>4.</w:t>
      </w:r>
      <w:r>
        <w:rPr>
          <w:rFonts w:hint="eastAsia"/>
        </w:rPr>
        <w:t>《浙江省农业农村厅关于做好2019年农民教育培训工作的通知》（浙农科发〔2019〕20号）</w:t>
      </w:r>
    </w:p>
    <w:p>
      <w:pPr>
        <w:pStyle w:val="5"/>
        <w:rPr>
          <w:rFonts w:hint="eastAsia"/>
        </w:rPr>
      </w:pPr>
      <w:r>
        <w:t>5.</w:t>
      </w:r>
      <w:r>
        <w:rPr>
          <w:rFonts w:hint="eastAsia"/>
        </w:rPr>
        <w:t>《浙江省农业农村厅关于下达2020年度千万农民素质提升工程任务的通知》（浙农科发〔2020〕8号）</w:t>
      </w:r>
    </w:p>
  </w:footnote>
  <w:footnote w:id="1">
    <w:p>
      <w:pPr>
        <w:pStyle w:val="5"/>
        <w:rPr>
          <w:rFonts w:hint="eastAsia"/>
        </w:rPr>
      </w:pPr>
      <w:r>
        <w:rPr>
          <w:rStyle w:val="8"/>
        </w:rPr>
        <w:footnoteRef/>
      </w:r>
      <w:r>
        <w:t xml:space="preserve"> </w:t>
      </w:r>
      <w:r>
        <w:rPr>
          <w:rFonts w:hint="eastAsia"/>
        </w:rPr>
        <w:t>根据《关于成立“丽水农民学院”的通知》</w:t>
      </w:r>
      <w:bookmarkStart w:id="24" w:name="_Hlk80365053"/>
      <w:r>
        <w:rPr>
          <w:rFonts w:hint="eastAsia"/>
        </w:rPr>
        <w:t>（丽农办〔201</w:t>
      </w:r>
      <w:r>
        <w:t>2</w:t>
      </w:r>
      <w:r>
        <w:rPr>
          <w:rFonts w:hint="eastAsia"/>
        </w:rPr>
        <w:t>〕</w:t>
      </w:r>
      <w:r>
        <w:t>9</w:t>
      </w:r>
      <w:r>
        <w:rPr>
          <w:rFonts w:hint="eastAsia"/>
        </w:rPr>
        <w:t>号）</w:t>
      </w:r>
      <w:bookmarkEnd w:id="24"/>
      <w:r>
        <w:rPr>
          <w:rFonts w:hint="eastAsia"/>
        </w:rPr>
        <w:t>、《关于成立市县乡村四级“乡村振兴讲习所”的通知》（丽组通〔201</w:t>
      </w:r>
      <w:r>
        <w:t>8</w:t>
      </w:r>
      <w:r>
        <w:rPr>
          <w:rFonts w:hint="eastAsia"/>
        </w:rPr>
        <w:t>〕</w:t>
      </w:r>
      <w:r>
        <w:t>21</w:t>
      </w:r>
      <w:r>
        <w:rPr>
          <w:rFonts w:hint="eastAsia"/>
        </w:rPr>
        <w:t>号）</w:t>
      </w:r>
    </w:p>
  </w:footnote>
  <w:footnote w:id="2">
    <w:p>
      <w:pPr>
        <w:pStyle w:val="5"/>
        <w:rPr>
          <w:rFonts w:hint="eastAsia"/>
        </w:rPr>
      </w:pPr>
      <w:r>
        <w:rPr>
          <w:rStyle w:val="8"/>
        </w:rPr>
        <w:footnoteRef/>
      </w:r>
      <w:r>
        <w:t xml:space="preserve"> 2016</w:t>
      </w:r>
      <w:r>
        <w:rPr>
          <w:rFonts w:hint="eastAsia"/>
        </w:rPr>
        <w:t>年、2</w:t>
      </w:r>
      <w:r>
        <w:t>020</w:t>
      </w:r>
      <w:r>
        <w:rPr>
          <w:rFonts w:hint="eastAsia"/>
        </w:rPr>
        <w:t>年省级培训任务数直接下达至丽水市级，2</w:t>
      </w:r>
      <w:r>
        <w:t>017</w:t>
      </w:r>
      <w:r>
        <w:rPr>
          <w:rFonts w:hint="eastAsia"/>
        </w:rPr>
        <w:t>年至2</w:t>
      </w:r>
      <w:r>
        <w:t>019</w:t>
      </w:r>
      <w:r>
        <w:rPr>
          <w:rFonts w:hint="eastAsia"/>
        </w:rPr>
        <w:t>年省级培训任务数的市级部分分解至区县。</w:t>
      </w:r>
    </w:p>
  </w:footnote>
  <w:footnote w:id="3">
    <w:p>
      <w:pPr>
        <w:pStyle w:val="5"/>
        <w:rPr>
          <w:rFonts w:hint="eastAsia"/>
        </w:rPr>
      </w:pPr>
      <w:r>
        <w:rPr>
          <w:rStyle w:val="8"/>
        </w:rPr>
        <w:footnoteRef/>
      </w:r>
      <w:r>
        <w:t xml:space="preserve"> </w:t>
      </w:r>
      <w:r>
        <w:rPr>
          <w:rFonts w:hint="eastAsia"/>
        </w:rPr>
        <w:t>该处省级任务数指省级培训任务数直接下达市级部分和省级培训任务数的市级任务分解至县级部分。其中：</w:t>
      </w:r>
      <w:r>
        <w:t>2016</w:t>
      </w:r>
      <w:r>
        <w:rPr>
          <w:rFonts w:hint="eastAsia"/>
        </w:rPr>
        <w:t>年、2</w:t>
      </w:r>
      <w:r>
        <w:t>020</w:t>
      </w:r>
      <w:r>
        <w:rPr>
          <w:rFonts w:hint="eastAsia"/>
        </w:rPr>
        <w:t>年省级培训任务数直接下达至丽水市级，2</w:t>
      </w:r>
      <w:r>
        <w:t>017</w:t>
      </w:r>
      <w:r>
        <w:rPr>
          <w:rFonts w:hint="eastAsia"/>
        </w:rPr>
        <w:t>年至2</w:t>
      </w:r>
      <w:r>
        <w:t>019</w:t>
      </w:r>
      <w:r>
        <w:rPr>
          <w:rFonts w:hint="eastAsia"/>
        </w:rPr>
        <w:t>年省级培训任务数的市级部分分解至县级。</w:t>
      </w:r>
    </w:p>
    <w:p>
      <w:pPr>
        <w:pStyle w:val="5"/>
        <w:rPr>
          <w:rFonts w:hint="eastAsia"/>
        </w:rPr>
      </w:pPr>
    </w:p>
  </w:footnote>
  <w:footnote w:id="4">
    <w:p>
      <w:pPr>
        <w:pStyle w:val="5"/>
      </w:pPr>
      <w:r>
        <w:rPr>
          <w:rStyle w:val="8"/>
        </w:rPr>
        <w:footnoteRef/>
      </w:r>
      <w:r>
        <w:t xml:space="preserve"> </w:t>
      </w:r>
      <w:r>
        <w:rPr>
          <w:rFonts w:hint="eastAsia"/>
        </w:rPr>
        <w:t>由于评价时2019-2020年培训已无法现场追踪，因此使用电话访谈的形式进一步了解培训效果。</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8C74D5"/>
    <w:multiLevelType w:val="singleLevel"/>
    <w:tmpl w:val="BE8C74D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B42083"/>
    <w:rsid w:val="75B42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spacing w:before="260" w:after="260" w:line="416" w:lineRule="auto"/>
      <w:jc w:val="left"/>
      <w:outlineLvl w:val="1"/>
    </w:pPr>
    <w:rPr>
      <w:rFonts w:ascii="Arial" w:hAnsi="Arial" w:eastAsia="黑体"/>
      <w:b/>
      <w:bCs/>
      <w:kern w:val="0"/>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0"/>
    <w:pPr>
      <w:widowControl/>
      <w:jc w:val="left"/>
    </w:pPr>
    <w:rPr>
      <w:rFonts w:ascii="Times New Roman" w:hAnsi="Times New Roman"/>
      <w:kern w:val="0"/>
      <w:sz w:val="24"/>
      <w:szCs w:val="24"/>
    </w:rPr>
  </w:style>
  <w:style w:type="paragraph" w:styleId="5">
    <w:name w:val="footnote text"/>
    <w:basedOn w:val="1"/>
    <w:qFormat/>
    <w:uiPriority w:val="0"/>
    <w:pPr>
      <w:snapToGrid w:val="0"/>
      <w:jc w:val="left"/>
    </w:pPr>
    <w:rPr>
      <w:sz w:val="18"/>
    </w:rPr>
  </w:style>
  <w:style w:type="character" w:styleId="8">
    <w:name w:val="footnote reference"/>
    <w:basedOn w:val="7"/>
    <w:qFormat/>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E:\&#25105;&#30340;&#22362;&#26524;&#20113;\&#20029;&#27700;-&#20892;&#27665;&#22521;&#35757;\2016-2020&#20029;&#27700;&#24066;&#20892;&#27665;&#22521;&#35757;&#35838;&#31243;&#27719;&#24635;&#34920;(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E:\&#25105;&#30340;&#22362;&#26524;&#20113;\&#20029;&#27700;-&#20892;&#27665;&#22521;&#35757;\2016-2020&#20029;&#27700;&#24066;&#20892;&#27665;&#22521;&#35757;&#35838;&#31243;&#27719;&#24635;&#34920;(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5105;&#30340;&#22362;&#26524;&#20113;\&#20029;&#27700;-&#20892;&#27665;&#22521;&#35757;\2016-2020&#20029;&#27700;&#24066;&#20892;&#27665;&#22521;&#35757;&#35838;&#31243;&#27719;&#24635;&#34920;(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5105;&#30340;&#22362;&#26524;&#20113;\&#20029;&#27700;-&#20892;&#27665;&#22521;&#35757;\2016-2020&#20029;&#27700;&#24066;&#20892;&#27665;&#22521;&#35757;&#35838;&#31243;&#27719;&#24635;&#349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spc="0" baseline="0">
                <a:solidFill>
                  <a:srgbClr val="595959">
                    <a:lumMod val="65000"/>
                    <a:lumOff val="35000"/>
                  </a:srgbClr>
                </a:solidFill>
                <a:latin typeface="+mn-lt"/>
                <a:ea typeface="+mn-ea"/>
                <a:cs typeface="+mn-cs"/>
              </a:defRPr>
            </a:pPr>
            <a:r>
              <a:rPr sz="1200"/>
              <a:t>图</a:t>
            </a:r>
            <a:r>
              <a:rPr lang="en-US" altLang="zh-CN" sz="1200"/>
              <a:t>1</a:t>
            </a:r>
            <a:r>
              <a:rPr altLang="en-US" sz="1200"/>
              <a:t>：</a:t>
            </a:r>
            <a:r>
              <a:rPr sz="1200"/>
              <a:t>2016-2020全市农村实用人才培训人次统计表</a:t>
            </a:r>
            <a:endParaRPr sz="1200"/>
          </a:p>
          <a:p>
            <a:pPr defTabSz="914400">
              <a:defRPr lang="zh-CN" sz="1200" b="0" i="0" u="none" strike="noStrike" kern="1200" spc="0" baseline="0">
                <a:solidFill>
                  <a:srgbClr val="595959">
                    <a:lumMod val="65000"/>
                    <a:lumOff val="35000"/>
                  </a:srgbClr>
                </a:solidFill>
                <a:latin typeface="+mn-lt"/>
                <a:ea typeface="+mn-ea"/>
                <a:cs typeface="+mn-cs"/>
              </a:defRPr>
            </a:pPr>
            <a:r>
              <a:rPr sz="1000"/>
              <a:t>（单位：人）</a:t>
            </a:r>
            <a:endParaRPr sz="1000"/>
          </a:p>
        </c:rich>
      </c:tx>
      <c:layout/>
      <c:overlay val="0"/>
      <c:spPr>
        <a:noFill/>
        <a:ln>
          <a:noFill/>
        </a:ln>
        <a:effectLst/>
      </c:spPr>
    </c:title>
    <c:autoTitleDeleted val="0"/>
    <c:plotArea>
      <c:layout/>
      <c:barChart>
        <c:barDir val="col"/>
        <c:grouping val="clustered"/>
        <c:varyColors val="0"/>
        <c:ser>
          <c:idx val="0"/>
          <c:order val="0"/>
          <c:tx>
            <c:strRef>
              <c:f>'[2016-2020丽水市农民培训课程汇总表(1).xlsx]全市培训人次统计表'!$A$15</c:f>
              <c:strCache>
                <c:ptCount val="1"/>
                <c:pt idx="0">
                  <c:v>人次</c:v>
                </c:pt>
              </c:strCache>
            </c:strRef>
          </c:tx>
          <c:spPr>
            <a:solidFill>
              <a:srgbClr val="4F81BD"/>
            </a:solidFill>
            <a:ln>
              <a:noFill/>
            </a:ln>
            <a:effectLst/>
          </c:spPr>
          <c:invertIfNegative val="0"/>
          <c:dLbls>
            <c:delete val="1"/>
          </c:dLbls>
          <c:cat>
            <c:strRef>
              <c:f>'[2016-2020丽水市农民培训课程汇总表(1).xlsx]全市培训人次统计表'!$B$22:$F$22</c:f>
              <c:strCache>
                <c:ptCount val="5"/>
                <c:pt idx="0">
                  <c:v>生产型</c:v>
                </c:pt>
                <c:pt idx="1">
                  <c:v>经营型</c:v>
                </c:pt>
                <c:pt idx="2">
                  <c:v>技能服务型</c:v>
                </c:pt>
                <c:pt idx="3">
                  <c:v>社会服务型</c:v>
                </c:pt>
                <c:pt idx="4">
                  <c:v>技能带动型</c:v>
                </c:pt>
              </c:strCache>
            </c:strRef>
          </c:cat>
          <c:val>
            <c:numRef>
              <c:f>'[2016-2020丽水市农民培训课程汇总表(1).xlsx]全市培训人次统计表'!$B$28:$F$28</c:f>
              <c:numCache>
                <c:formatCode>0_ </c:formatCode>
                <c:ptCount val="5"/>
                <c:pt idx="0">
                  <c:v>13648</c:v>
                </c:pt>
                <c:pt idx="1">
                  <c:v>17947</c:v>
                </c:pt>
                <c:pt idx="2">
                  <c:v>5711</c:v>
                </c:pt>
                <c:pt idx="3">
                  <c:v>14445</c:v>
                </c:pt>
                <c:pt idx="4">
                  <c:v>11805</c:v>
                </c:pt>
              </c:numCache>
            </c:numRef>
          </c:val>
        </c:ser>
        <c:ser>
          <c:idx val="1"/>
          <c:order val="1"/>
          <c:tx>
            <c:strRef>
              <c:f>'[2016-2020丽水市农民培训课程汇总表(1).xlsx]全市培训人次统计表'!$A$29</c:f>
              <c:strCache>
                <c:ptCount val="1"/>
                <c:pt idx="0">
                  <c:v>占比</c:v>
                </c:pt>
              </c:strCache>
            </c:strRef>
          </c:tx>
          <c:spPr>
            <a:solidFill>
              <a:srgbClr val="C0504D"/>
            </a:solidFill>
            <a:ln>
              <a:noFill/>
            </a:ln>
            <a:effectLst/>
          </c:spPr>
          <c:invertIfNegative val="0"/>
          <c:dLbls>
            <c:delete val="1"/>
          </c:dLbls>
          <c:cat>
            <c:strRef>
              <c:f>'[2016-2020丽水市农民培训课程汇总表(1).xlsx]全市培训人次统计表'!$B$22:$F$22</c:f>
              <c:strCache>
                <c:ptCount val="5"/>
                <c:pt idx="0">
                  <c:v>生产型</c:v>
                </c:pt>
                <c:pt idx="1">
                  <c:v>经营型</c:v>
                </c:pt>
                <c:pt idx="2">
                  <c:v>技能服务型</c:v>
                </c:pt>
                <c:pt idx="3">
                  <c:v>社会服务型</c:v>
                </c:pt>
                <c:pt idx="4">
                  <c:v>技能带动型</c:v>
                </c:pt>
              </c:strCache>
            </c:strRef>
          </c:cat>
          <c:val>
            <c:numRef>
              <c:f>'[2016-2020丽水市农民培训课程汇总表(1).xlsx]全市培训人次统计表'!$B$29:$F$29</c:f>
              <c:numCache>
                <c:formatCode>0.00%</c:formatCode>
                <c:ptCount val="5"/>
                <c:pt idx="0">
                  <c:v>0.214739757064636</c:v>
                </c:pt>
                <c:pt idx="1">
                  <c:v>0.282380892441312</c:v>
                </c:pt>
                <c:pt idx="2">
                  <c:v>0.0898577632324249</c:v>
                </c:pt>
                <c:pt idx="3">
                  <c:v>0.227279879161684</c:v>
                </c:pt>
                <c:pt idx="4">
                  <c:v>0.185741708099943</c:v>
                </c:pt>
              </c:numCache>
            </c:numRef>
          </c:val>
        </c:ser>
        <c:dLbls>
          <c:showLegendKey val="0"/>
          <c:showVal val="0"/>
          <c:showCatName val="0"/>
          <c:showSerName val="0"/>
          <c:showPercent val="0"/>
          <c:showBubbleSize val="0"/>
        </c:dLbls>
        <c:gapWidth val="150"/>
        <c:overlap val="0"/>
        <c:axId val="642300735"/>
        <c:axId val="426919615"/>
      </c:barChart>
      <c:catAx>
        <c:axId val="642300735"/>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1000" b="0" i="0" u="none" strike="noStrike" kern="1200" baseline="0">
                <a:solidFill>
                  <a:srgbClr val="595959">
                    <a:lumMod val="65000"/>
                    <a:lumOff val="35000"/>
                  </a:srgbClr>
                </a:solidFill>
                <a:latin typeface="+mn-lt"/>
                <a:ea typeface="+mn-ea"/>
                <a:cs typeface="+mn-cs"/>
              </a:defRPr>
            </a:pPr>
          </a:p>
        </c:txPr>
        <c:crossAx val="426919615"/>
        <c:crosses val="autoZero"/>
        <c:auto val="1"/>
        <c:lblAlgn val="ctr"/>
        <c:lblOffset val="100"/>
        <c:noMultiLvlLbl val="0"/>
      </c:catAx>
      <c:valAx>
        <c:axId val="426919615"/>
        <c:scaling>
          <c:orientation val="minMax"/>
        </c:scaling>
        <c:delete val="0"/>
        <c:axPos val="l"/>
        <c:majorGridlines>
          <c:spPr>
            <a:ln w="9525" cap="flat" cmpd="sng" algn="ctr">
              <a:solidFill>
                <a:srgbClr val="D9D9D9">
                  <a:lumMod val="15000"/>
                  <a:lumOff val="85000"/>
                </a:srgbClr>
              </a:solidFill>
              <a:round/>
            </a:ln>
            <a:effectLst/>
          </c:spPr>
        </c:majorGridlines>
        <c:numFmt formatCode="0_ " sourceLinked="1"/>
        <c:majorTickMark val="none"/>
        <c:minorTickMark val="none"/>
        <c:tickLblPos val="nextTo"/>
        <c:spPr>
          <a:noFill/>
          <a:ln>
            <a:noFill/>
          </a:ln>
          <a:effectLst/>
        </c:spPr>
        <c:txPr>
          <a:bodyPr rot="-60000000" spcFirstLastPara="0" vertOverflow="ellipsis" vert="horz" wrap="square" anchor="ctr" anchorCtr="1"/>
          <a:lstStyle/>
          <a:p>
            <a:pPr>
              <a:defRPr lang="zh-CN" sz="1000" b="0" i="0" u="none" strike="noStrike" kern="1200" baseline="0">
                <a:solidFill>
                  <a:srgbClr val="595959">
                    <a:lumMod val="65000"/>
                    <a:lumOff val="35000"/>
                  </a:srgbClr>
                </a:solidFill>
                <a:latin typeface="+mn-lt"/>
                <a:ea typeface="+mn-ea"/>
                <a:cs typeface="+mn-cs"/>
              </a:defRPr>
            </a:pPr>
          </a:p>
        </c:txPr>
        <c:crossAx val="642300735"/>
        <c:crosses val="autoZero"/>
        <c:crossBetween val="between"/>
      </c:valAx>
      <c:dTable>
        <c:showHorzBorder val="1"/>
        <c:showVertBorder val="1"/>
        <c:showOutline val="1"/>
        <c:showKeys val="1"/>
        <c:spPr>
          <a:noFill/>
          <a:ln w="9525" cap="flat" cmpd="sng" algn="ctr">
            <a:solidFill>
              <a:srgbClr val="D9D9D9">
                <a:lumMod val="15000"/>
                <a:lumOff val="85000"/>
              </a:srgbClr>
            </a:solidFill>
            <a:round/>
          </a:ln>
          <a:effectLst/>
        </c:spPr>
        <c:txPr>
          <a:bodyPr rot="0" spcFirstLastPara="0" vertOverflow="ellipsis" vert="horz" wrap="square" anchor="ctr" anchorCtr="1"/>
          <a:lstStyle/>
          <a:p>
            <a:pPr>
              <a:defRPr lang="zh-CN" sz="1000" b="0" i="0" u="none" strike="noStrike" kern="1200" baseline="0">
                <a:solidFill>
                  <a:srgbClr val="595959">
                    <a:lumMod val="65000"/>
                    <a:lumOff val="35000"/>
                  </a:srgbClr>
                </a:solidFill>
                <a:latin typeface="+mn-lt"/>
                <a:ea typeface="+mn-ea"/>
                <a:cs typeface="+mn-cs"/>
              </a:defRPr>
            </a:pPr>
          </a:p>
        </c:txPr>
      </c:dTable>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sz="10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spc="0" baseline="0">
                <a:solidFill>
                  <a:srgbClr val="595959">
                    <a:lumMod val="65000"/>
                    <a:lumOff val="35000"/>
                  </a:srgbClr>
                </a:solidFill>
                <a:latin typeface="+mn-lt"/>
                <a:ea typeface="+mn-ea"/>
                <a:cs typeface="+mn-cs"/>
              </a:defRPr>
            </a:pPr>
            <a:r>
              <a:rPr sz="1200"/>
              <a:t>图</a:t>
            </a:r>
            <a:r>
              <a:rPr lang="en-US" altLang="zh-CN" sz="1200"/>
              <a:t>2</a:t>
            </a:r>
            <a:r>
              <a:rPr altLang="en-US" sz="1200"/>
              <a:t>：</a:t>
            </a:r>
            <a:r>
              <a:rPr lang="en-US" altLang="zh-CN" sz="1200"/>
              <a:t>2020</a:t>
            </a:r>
            <a:r>
              <a:rPr altLang="en-US" sz="1200"/>
              <a:t>年市本级农村实用人才培训人次统计表</a:t>
            </a:r>
            <a:endParaRPr altLang="en-US" sz="1200"/>
          </a:p>
          <a:p>
            <a:pPr defTabSz="914400">
              <a:defRPr lang="zh-CN" sz="1200" b="0" i="0" u="none" strike="noStrike" kern="1200" spc="0" baseline="0">
                <a:solidFill>
                  <a:srgbClr val="595959">
                    <a:lumMod val="65000"/>
                    <a:lumOff val="35000"/>
                  </a:srgbClr>
                </a:solidFill>
                <a:latin typeface="+mn-lt"/>
                <a:ea typeface="+mn-ea"/>
                <a:cs typeface="+mn-cs"/>
              </a:defRPr>
            </a:pPr>
            <a:r>
              <a:rPr altLang="en-US" sz="1000"/>
              <a:t>（单位：人）</a:t>
            </a:r>
            <a:endParaRPr lang="en-US" altLang="en-US" sz="1000"/>
          </a:p>
        </c:rich>
      </c:tx>
      <c:layout/>
      <c:overlay val="0"/>
      <c:spPr>
        <a:noFill/>
        <a:ln>
          <a:noFill/>
        </a:ln>
        <a:effectLst/>
      </c:spPr>
    </c:title>
    <c:autoTitleDeleted val="0"/>
    <c:plotArea>
      <c:layout/>
      <c:barChart>
        <c:barDir val="col"/>
        <c:grouping val="clustered"/>
        <c:varyColors val="0"/>
        <c:ser>
          <c:idx val="0"/>
          <c:order val="0"/>
          <c:tx>
            <c:strRef>
              <c:f>'[2016-2020丽水市农民培训课程汇总表(1).xlsx]全市培训人次统计表'!$A$15</c:f>
              <c:strCache>
                <c:ptCount val="1"/>
                <c:pt idx="0">
                  <c:v>人次</c:v>
                </c:pt>
              </c:strCache>
            </c:strRef>
          </c:tx>
          <c:spPr>
            <a:solidFill>
              <a:srgbClr val="4F81BD"/>
            </a:solidFill>
            <a:ln>
              <a:noFill/>
            </a:ln>
            <a:effectLst/>
          </c:spPr>
          <c:invertIfNegative val="0"/>
          <c:dLbls>
            <c:delete val="1"/>
          </c:dLbls>
          <c:cat>
            <c:strRef>
              <c:f>'[2016-2020丽水市农民培训课程汇总表(1).xlsx]全市培训人次统计表'!$B$14:$F$14</c:f>
              <c:strCache>
                <c:ptCount val="5"/>
                <c:pt idx="0">
                  <c:v>生产型</c:v>
                </c:pt>
                <c:pt idx="1">
                  <c:v>经营型</c:v>
                </c:pt>
                <c:pt idx="2">
                  <c:v>技能服务型</c:v>
                </c:pt>
                <c:pt idx="3">
                  <c:v>社会服务型</c:v>
                </c:pt>
                <c:pt idx="4">
                  <c:v>技能带动型</c:v>
                </c:pt>
              </c:strCache>
            </c:strRef>
          </c:cat>
          <c:val>
            <c:numRef>
              <c:f>'[2016-2020丽水市农民培训课程汇总表(1).xlsx]全市培训人次统计表'!$B$15:$F$15</c:f>
              <c:numCache>
                <c:formatCode>0_ </c:formatCode>
                <c:ptCount val="5"/>
                <c:pt idx="0">
                  <c:v>224</c:v>
                </c:pt>
                <c:pt idx="1">
                  <c:v>593</c:v>
                </c:pt>
                <c:pt idx="2">
                  <c:v>154</c:v>
                </c:pt>
                <c:pt idx="3">
                  <c:v>457</c:v>
                </c:pt>
                <c:pt idx="4">
                  <c:v>447</c:v>
                </c:pt>
              </c:numCache>
            </c:numRef>
          </c:val>
        </c:ser>
        <c:ser>
          <c:idx val="1"/>
          <c:order val="1"/>
          <c:tx>
            <c:strRef>
              <c:f>'[2016-2020丽水市农民培训课程汇总表(1).xlsx]全市培训人次统计表'!$A$16</c:f>
              <c:strCache>
                <c:ptCount val="1"/>
                <c:pt idx="0">
                  <c:v>占比</c:v>
                </c:pt>
              </c:strCache>
            </c:strRef>
          </c:tx>
          <c:spPr>
            <a:solidFill>
              <a:srgbClr val="C0504D"/>
            </a:solidFill>
            <a:ln>
              <a:noFill/>
            </a:ln>
            <a:effectLst/>
          </c:spPr>
          <c:invertIfNegative val="0"/>
          <c:dLbls>
            <c:delete val="1"/>
          </c:dLbls>
          <c:cat>
            <c:strRef>
              <c:f>'[2016-2020丽水市农民培训课程汇总表(1).xlsx]全市培训人次统计表'!$B$14:$F$14</c:f>
              <c:strCache>
                <c:ptCount val="5"/>
                <c:pt idx="0">
                  <c:v>生产型</c:v>
                </c:pt>
                <c:pt idx="1">
                  <c:v>经营型</c:v>
                </c:pt>
                <c:pt idx="2">
                  <c:v>技能服务型</c:v>
                </c:pt>
                <c:pt idx="3">
                  <c:v>社会服务型</c:v>
                </c:pt>
                <c:pt idx="4">
                  <c:v>技能带动型</c:v>
                </c:pt>
              </c:strCache>
            </c:strRef>
          </c:cat>
          <c:val>
            <c:numRef>
              <c:f>'[2016-2020丽水市农民培训课程汇总表(1).xlsx]全市培训人次统计表'!$B$16:$F$16</c:f>
              <c:numCache>
                <c:formatCode>0.00%</c:formatCode>
                <c:ptCount val="5"/>
                <c:pt idx="0">
                  <c:v>0.119466666666667</c:v>
                </c:pt>
                <c:pt idx="1">
                  <c:v>0.316266666666667</c:v>
                </c:pt>
                <c:pt idx="2">
                  <c:v>0.0821333333333333</c:v>
                </c:pt>
                <c:pt idx="3">
                  <c:v>0.243733333333333</c:v>
                </c:pt>
                <c:pt idx="4">
                  <c:v>0.2384</c:v>
                </c:pt>
              </c:numCache>
            </c:numRef>
          </c:val>
        </c:ser>
        <c:dLbls>
          <c:showLegendKey val="0"/>
          <c:showVal val="1"/>
          <c:showCatName val="0"/>
          <c:showSerName val="0"/>
          <c:showPercent val="0"/>
          <c:showBubbleSize val="0"/>
        </c:dLbls>
        <c:gapWidth val="150"/>
        <c:overlap val="0"/>
        <c:axId val="354184519"/>
        <c:axId val="895458346"/>
      </c:barChart>
      <c:catAx>
        <c:axId val="354184519"/>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895458346"/>
        <c:crosses val="autoZero"/>
        <c:auto val="1"/>
        <c:lblAlgn val="ctr"/>
        <c:lblOffset val="100"/>
        <c:noMultiLvlLbl val="0"/>
      </c:catAx>
      <c:valAx>
        <c:axId val="895458346"/>
        <c:scaling>
          <c:orientation val="minMax"/>
        </c:scaling>
        <c:delete val="0"/>
        <c:axPos val="l"/>
        <c:majorGridlines>
          <c:spPr>
            <a:ln w="9525" cap="flat" cmpd="sng" algn="ctr">
              <a:solidFill>
                <a:srgbClr val="D9D9D9">
                  <a:lumMod val="15000"/>
                  <a:lumOff val="85000"/>
                </a:srgbClr>
              </a:solidFill>
              <a:round/>
            </a:ln>
            <a:effectLst/>
          </c:spPr>
        </c:majorGridlines>
        <c:numFmt formatCode="0_ "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354184519"/>
        <c:crosses val="autoZero"/>
        <c:crossBetween val="between"/>
      </c:valAx>
      <c:dTable>
        <c:showHorzBorder val="1"/>
        <c:showVertBorder val="1"/>
        <c:showOutline val="1"/>
        <c:showKeys val="1"/>
        <c:spPr>
          <a:noFill/>
          <a:ln w="9525" cap="flat" cmpd="sng" algn="ctr">
            <a:solidFill>
              <a:srgbClr val="D9D9D9">
                <a:lumMod val="15000"/>
                <a:lumOff val="85000"/>
              </a:srgbClr>
            </a:solidFill>
            <a:round/>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dTable>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altLang="en-US"/>
              <a:t>图</a:t>
            </a:r>
            <a:r>
              <a:rPr lang="en-US" altLang="zh-CN"/>
              <a:t>3</a:t>
            </a:r>
            <a:r>
              <a:rPr altLang="en-US"/>
              <a:t>：</a:t>
            </a:r>
            <a:r>
              <a:rPr lang="en-US" altLang="zh-CN"/>
              <a:t>2016-2020</a:t>
            </a:r>
            <a:r>
              <a:rPr altLang="en-US"/>
              <a:t>年各年度培训班开班情况</a:t>
            </a:r>
            <a:endParaRPr altLang="en-US"/>
          </a:p>
          <a:p>
            <a:pPr defTabSz="914400">
              <a:defRPr lang="zh-CN" sz="1400" b="0" i="0" u="none" strike="noStrike" kern="1200" spc="0" baseline="0">
                <a:solidFill>
                  <a:srgbClr val="595959">
                    <a:lumMod val="65000"/>
                    <a:lumOff val="35000"/>
                  </a:srgbClr>
                </a:solidFill>
                <a:latin typeface="+mn-lt"/>
                <a:ea typeface="+mn-ea"/>
                <a:cs typeface="+mn-cs"/>
              </a:defRPr>
            </a:pPr>
            <a:r>
              <a:rPr lang="en-US" altLang="zh-CN" sz="1000"/>
              <a:t>（单位：</a:t>
            </a:r>
            <a:r>
              <a:rPr altLang="en-US" sz="1000"/>
              <a:t>班</a:t>
            </a:r>
            <a:r>
              <a:rPr lang="en-US" altLang="zh-CN" sz="1000"/>
              <a:t>次）</a:t>
            </a:r>
            <a:endParaRPr lang="en-US" altLang="zh-CN" sz="1000"/>
          </a:p>
        </c:rich>
      </c:tx>
      <c:layout/>
      <c:overlay val="0"/>
      <c:spPr>
        <a:noFill/>
        <a:ln>
          <a:noFill/>
        </a:ln>
        <a:effectLst/>
      </c:spPr>
    </c:title>
    <c:autoTitleDeleted val="0"/>
    <c:plotArea>
      <c:layout/>
      <c:barChart>
        <c:barDir val="col"/>
        <c:grouping val="clustered"/>
        <c:varyColors val="0"/>
        <c:ser>
          <c:idx val="0"/>
          <c:order val="0"/>
          <c:tx>
            <c:strRef>
              <c:f>'[2016-2020丽水市农民培训课程汇总表(1).xlsx]汇总表'!$A$25</c:f>
              <c:strCache>
                <c:ptCount val="1"/>
                <c:pt idx="0">
                  <c:v>班次</c:v>
                </c:pt>
              </c:strCache>
            </c:strRef>
          </c:tx>
          <c:spPr>
            <a:solidFill>
              <a:srgbClr val="4F81BD"/>
            </a:solidFill>
            <a:ln>
              <a:noFill/>
            </a:ln>
            <a:effectLst/>
          </c:spPr>
          <c:invertIfNegative val="0"/>
          <c:dLbls>
            <c:delete val="1"/>
          </c:dLbls>
          <c:cat>
            <c:strRef>
              <c:f>'[2016-2020丽水市农民培训课程汇总表(1).xlsx]汇总表'!$B$24:$F$24</c:f>
              <c:strCache>
                <c:ptCount val="5"/>
                <c:pt idx="0">
                  <c:v>2016年</c:v>
                </c:pt>
                <c:pt idx="1">
                  <c:v>2017年</c:v>
                </c:pt>
                <c:pt idx="2">
                  <c:v>2018年</c:v>
                </c:pt>
                <c:pt idx="3">
                  <c:v>2019年</c:v>
                </c:pt>
                <c:pt idx="4">
                  <c:v>2020年</c:v>
                </c:pt>
              </c:strCache>
            </c:strRef>
          </c:cat>
          <c:val>
            <c:numRef>
              <c:f>'[2016-2020丽水市农民培训课程汇总表(1).xlsx]汇总表'!$B$25:$F$25</c:f>
              <c:numCache>
                <c:formatCode>General</c:formatCode>
                <c:ptCount val="5"/>
                <c:pt idx="0">
                  <c:v>44</c:v>
                </c:pt>
                <c:pt idx="1">
                  <c:v>38</c:v>
                </c:pt>
                <c:pt idx="2">
                  <c:v>68</c:v>
                </c:pt>
                <c:pt idx="3">
                  <c:v>52</c:v>
                </c:pt>
                <c:pt idx="4">
                  <c:v>39</c:v>
                </c:pt>
              </c:numCache>
            </c:numRef>
          </c:val>
        </c:ser>
        <c:ser>
          <c:idx val="1"/>
          <c:order val="1"/>
          <c:tx>
            <c:strRef>
              <c:f>'[2016-2020丽水市农民培训课程汇总表(1).xlsx]汇总表'!$A$26</c:f>
              <c:strCache>
                <c:ptCount val="1"/>
                <c:pt idx="0">
                  <c:v>占比</c:v>
                </c:pt>
              </c:strCache>
            </c:strRef>
          </c:tx>
          <c:spPr>
            <a:solidFill>
              <a:srgbClr val="C0504D"/>
            </a:solidFill>
            <a:ln>
              <a:noFill/>
            </a:ln>
            <a:effectLst/>
          </c:spPr>
          <c:invertIfNegative val="0"/>
          <c:dLbls>
            <c:delete val="1"/>
          </c:dLbls>
          <c:cat>
            <c:strRef>
              <c:f>'[2016-2020丽水市农民培训课程汇总表(1).xlsx]汇总表'!$B$24:$F$24</c:f>
              <c:strCache>
                <c:ptCount val="5"/>
                <c:pt idx="0">
                  <c:v>2016年</c:v>
                </c:pt>
                <c:pt idx="1">
                  <c:v>2017年</c:v>
                </c:pt>
                <c:pt idx="2">
                  <c:v>2018年</c:v>
                </c:pt>
                <c:pt idx="3">
                  <c:v>2019年</c:v>
                </c:pt>
                <c:pt idx="4">
                  <c:v>2020年</c:v>
                </c:pt>
              </c:strCache>
            </c:strRef>
          </c:cat>
          <c:val>
            <c:numRef>
              <c:f>'[2016-2020丽水市农民培训课程汇总表(1).xlsx]汇总表'!$B$26:$F$26</c:f>
              <c:numCache>
                <c:formatCode>0.00%</c:formatCode>
                <c:ptCount val="5"/>
                <c:pt idx="0">
                  <c:v>0.182572614107884</c:v>
                </c:pt>
                <c:pt idx="1">
                  <c:v>0.157676348547718</c:v>
                </c:pt>
                <c:pt idx="2">
                  <c:v>0.282157676348548</c:v>
                </c:pt>
                <c:pt idx="3">
                  <c:v>0.215767634854772</c:v>
                </c:pt>
                <c:pt idx="4">
                  <c:v>0.161825726141079</c:v>
                </c:pt>
              </c:numCache>
            </c:numRef>
          </c:val>
        </c:ser>
        <c:dLbls>
          <c:showLegendKey val="0"/>
          <c:showVal val="0"/>
          <c:showCatName val="0"/>
          <c:showSerName val="0"/>
          <c:showPercent val="0"/>
          <c:showBubbleSize val="0"/>
        </c:dLbls>
        <c:gapWidth val="219"/>
        <c:overlap val="-27"/>
        <c:axId val="864303192"/>
        <c:axId val="466871094"/>
      </c:barChart>
      <c:catAx>
        <c:axId val="864303192"/>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66871094"/>
        <c:crosses val="autoZero"/>
        <c:auto val="1"/>
        <c:lblAlgn val="ctr"/>
        <c:lblOffset val="100"/>
        <c:noMultiLvlLbl val="0"/>
      </c:catAx>
      <c:valAx>
        <c:axId val="466871094"/>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864303192"/>
        <c:crosses val="autoZero"/>
        <c:crossBetween val="between"/>
      </c:valAx>
      <c:dTable>
        <c:showHorzBorder val="1"/>
        <c:showVertBorder val="1"/>
        <c:showOutline val="1"/>
        <c:showKeys val="1"/>
        <c:spPr>
          <a:noFill/>
          <a:ln w="9525" cap="flat" cmpd="sng" algn="ctr">
            <a:solidFill>
              <a:srgbClr val="D9D9D9">
                <a:lumMod val="15000"/>
                <a:lumOff val="85000"/>
              </a:srgbClr>
            </a:solidFill>
            <a:round/>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dTable>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b" anchorCtr="0"/>
          <a:lstStyle/>
          <a:p>
            <a:pPr defTabSz="914400">
              <a:defRPr lang="zh-CN" sz="1400" b="0" i="0" u="none" strike="noStrike" kern="1200" spc="0" baseline="0">
                <a:solidFill>
                  <a:srgbClr val="595959">
                    <a:lumMod val="65000"/>
                    <a:lumOff val="35000"/>
                  </a:srgbClr>
                </a:solidFill>
                <a:latin typeface="+mn-lt"/>
                <a:ea typeface="+mn-ea"/>
                <a:cs typeface="+mn-cs"/>
              </a:defRPr>
            </a:pPr>
            <a:r>
              <a:t>图</a:t>
            </a:r>
            <a:r>
              <a:rPr lang="en-US" altLang="zh-CN"/>
              <a:t>4</a:t>
            </a:r>
            <a:r>
              <a:t>：2016-2020年各培训机构开班情况</a:t>
            </a:r>
          </a:p>
          <a:p>
            <a:pPr defTabSz="914400">
              <a:defRPr lang="zh-CN" sz="1400" b="0" i="0" u="none" strike="noStrike" kern="1200" spc="0" baseline="0">
                <a:solidFill>
                  <a:srgbClr val="595959">
                    <a:lumMod val="65000"/>
                    <a:lumOff val="35000"/>
                  </a:srgbClr>
                </a:solidFill>
                <a:latin typeface="+mn-lt"/>
                <a:ea typeface="+mn-ea"/>
                <a:cs typeface="+mn-cs"/>
              </a:defRPr>
            </a:pPr>
            <a:r>
              <a:rPr sz="1000"/>
              <a:t>（单位：班次）</a:t>
            </a:r>
            <a:endParaRPr sz="1000"/>
          </a:p>
        </c:rich>
      </c:tx>
      <c:layout>
        <c:manualLayout>
          <c:xMode val="edge"/>
          <c:yMode val="edge"/>
          <c:x val="0.162083333333333"/>
          <c:y val="0.0277777777777778"/>
        </c:manualLayout>
      </c:layout>
      <c:overlay val="0"/>
      <c:spPr>
        <a:noFill/>
        <a:ln>
          <a:noFill/>
        </a:ln>
        <a:effectLst/>
      </c:spPr>
    </c:title>
    <c:autoTitleDeleted val="0"/>
    <c:plotArea>
      <c:layout/>
      <c:barChart>
        <c:barDir val="col"/>
        <c:grouping val="clustered"/>
        <c:varyColors val="0"/>
        <c:ser>
          <c:idx val="0"/>
          <c:order val="0"/>
          <c:tx>
            <c:strRef>
              <c:f>'[2016-2020丽水市农民培训课程汇总表(1).xlsx]汇总表'!$A$25</c:f>
              <c:strCache>
                <c:ptCount val="1"/>
                <c:pt idx="0">
                  <c:v>班次</c:v>
                </c:pt>
              </c:strCache>
            </c:strRef>
          </c:tx>
          <c:spPr>
            <a:solidFill>
              <a:srgbClr val="4F81BD"/>
            </a:solidFill>
            <a:ln>
              <a:noFill/>
            </a:ln>
            <a:effectLst/>
          </c:spPr>
          <c:invertIfNegative val="0"/>
          <c:dLbls>
            <c:delete val="1"/>
          </c:dLbls>
          <c:cat>
            <c:multiLvlStrRef>
              <c:f>'[2016-2020丽水市农民培训课程汇总表(1).xlsx]汇总表'!$B$13:$D$14</c:f>
              <c:multiLvlStrCache>
                <c:ptCount val="3"/>
                <c:lvl/>
                <c:lvl>
                  <c:pt idx="0">
                    <c:v>丽水广播电视大学</c:v>
                  </c:pt>
                  <c:pt idx="1">
                    <c:v>丽水学院</c:v>
                  </c:pt>
                  <c:pt idx="2">
                    <c:v>丽水职业技术学院</c:v>
                  </c:pt>
                </c:lvl>
              </c:multiLvlStrCache>
            </c:multiLvlStrRef>
          </c:cat>
          <c:val>
            <c:numRef>
              <c:f>'[2016-2020丽水市农民培训课程汇总表(1).xlsx]汇总表'!$B$20:$D$20</c:f>
              <c:numCache>
                <c:formatCode>General</c:formatCode>
                <c:ptCount val="3"/>
                <c:pt idx="0">
                  <c:v>41</c:v>
                </c:pt>
                <c:pt idx="1">
                  <c:v>32</c:v>
                </c:pt>
                <c:pt idx="2">
                  <c:v>168</c:v>
                </c:pt>
              </c:numCache>
            </c:numRef>
          </c:val>
        </c:ser>
        <c:ser>
          <c:idx val="1"/>
          <c:order val="1"/>
          <c:tx>
            <c:strRef>
              <c:f>'[2016-2020丽水市农民培训课程汇总表(1).xlsx]汇总表'!$A$21</c:f>
              <c:strCache>
                <c:ptCount val="1"/>
                <c:pt idx="0">
                  <c:v>占比</c:v>
                </c:pt>
              </c:strCache>
            </c:strRef>
          </c:tx>
          <c:spPr>
            <a:solidFill>
              <a:srgbClr val="C0504D"/>
            </a:solidFill>
            <a:ln>
              <a:noFill/>
            </a:ln>
            <a:effectLst/>
          </c:spPr>
          <c:invertIfNegative val="0"/>
          <c:dLbls>
            <c:delete val="1"/>
          </c:dLbls>
          <c:cat>
            <c:multiLvlStrRef>
              <c:f>'[2016-2020丽水市农民培训课程汇总表(1).xlsx]汇总表'!$B$13:$D$14</c:f>
              <c:multiLvlStrCache>
                <c:ptCount val="3"/>
                <c:lvl/>
                <c:lvl>
                  <c:pt idx="0">
                    <c:v>丽水广播电视大学</c:v>
                  </c:pt>
                  <c:pt idx="1">
                    <c:v>丽水学院</c:v>
                  </c:pt>
                  <c:pt idx="2">
                    <c:v>丽水职业技术学院</c:v>
                  </c:pt>
                </c:lvl>
              </c:multiLvlStrCache>
            </c:multiLvlStrRef>
          </c:cat>
          <c:val>
            <c:numRef>
              <c:f>'[2016-2020丽水市农民培训课程汇总表(1).xlsx]汇总表'!$B$21:$D$21</c:f>
              <c:numCache>
                <c:formatCode>0.00%</c:formatCode>
                <c:ptCount val="3"/>
                <c:pt idx="0">
                  <c:v>0.170124481327801</c:v>
                </c:pt>
                <c:pt idx="1">
                  <c:v>0.132780082987552</c:v>
                </c:pt>
                <c:pt idx="2">
                  <c:v>0.697095435684647</c:v>
                </c:pt>
              </c:numCache>
            </c:numRef>
          </c:val>
        </c:ser>
        <c:dLbls>
          <c:showLegendKey val="0"/>
          <c:showVal val="0"/>
          <c:showCatName val="0"/>
          <c:showSerName val="0"/>
          <c:showPercent val="0"/>
          <c:showBubbleSize val="0"/>
        </c:dLbls>
        <c:gapWidth val="219"/>
        <c:overlap val="-27"/>
        <c:axId val="955594175"/>
        <c:axId val="403529076"/>
      </c:barChart>
      <c:catAx>
        <c:axId val="955594175"/>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03529076"/>
        <c:crosses val="autoZero"/>
        <c:auto val="1"/>
        <c:lblAlgn val="ctr"/>
        <c:lblOffset val="100"/>
        <c:noMultiLvlLbl val="0"/>
      </c:catAx>
      <c:valAx>
        <c:axId val="403529076"/>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55594175"/>
        <c:crosses val="autoZero"/>
        <c:crossBetween val="between"/>
      </c:valAx>
      <c:dTable>
        <c:showHorzBorder val="1"/>
        <c:showVertBorder val="1"/>
        <c:showOutline val="1"/>
        <c:showKeys val="1"/>
        <c:spPr>
          <a:noFill/>
          <a:ln w="9525" cap="flat" cmpd="sng" algn="ctr">
            <a:solidFill>
              <a:srgbClr val="D9D9D9">
                <a:lumMod val="15000"/>
                <a:lumOff val="85000"/>
              </a:srgbClr>
            </a:solidFill>
            <a:round/>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dTable>
      <c:spPr>
        <a:noFill/>
        <a:ln>
          <a:noFill/>
        </a:ln>
        <a:effectLst/>
      </c:spPr>
    </c:plotArea>
    <c:plotVisOnly val="1"/>
    <c:dispBlanksAs val="gap"/>
    <c:showDLblsOverMax val="0"/>
  </c:chart>
  <c:spPr>
    <a:solidFill>
      <a:sysClr val="window" lastClr="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2022-02-21T00:50:00Z</dcterms:created>
  <dc:creator>a</dc:creator>
  <cp:lastModifiedBy>a</cp:lastModifiedBy>
  <dcterms:modified xsi:type="dcterms:W3CDTF">2022-02-21T00:51:23Z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