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textAlignment w:val="auto"/>
        <w:rPr>
          <w:rFonts w:hint="eastAsia" w:ascii="黑体" w:hAnsi="黑体" w:eastAsia="黑体" w:cs="黑体"/>
          <w:b w:val="0"/>
          <w:bCs w:val="0"/>
          <w:spacing w:val="15"/>
          <w:sz w:val="32"/>
          <w:szCs w:val="32"/>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 w:val="0"/>
          <w:bCs w:val="0"/>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r>
        <w:rPr>
          <w:rFonts w:hint="eastAsia" w:ascii="方正小标宋简体" w:hAnsi="方正小标宋简体" w:eastAsia="方正小标宋简体" w:cs="方正小标宋简体"/>
          <w:bCs/>
          <w:spacing w:val="15"/>
          <w:sz w:val="44"/>
          <w:szCs w:val="44"/>
          <w:highlight w:val="none"/>
          <w:lang w:val="en-US" w:eastAsia="zh-CN"/>
        </w:rPr>
        <w:fldChar w:fldCharType="begin"/>
      </w:r>
      <w:r>
        <w:rPr>
          <w:rFonts w:hint="eastAsia" w:ascii="方正小标宋简体" w:hAnsi="方正小标宋简体" w:eastAsia="方正小标宋简体" w:cs="方正小标宋简体"/>
          <w:bCs/>
          <w:spacing w:val="15"/>
          <w:sz w:val="44"/>
          <w:szCs w:val="44"/>
          <w:highlight w:val="none"/>
          <w:lang w:val="en-US" w:eastAsia="zh-CN"/>
        </w:rPr>
        <w:instrText xml:space="preserve">MERGEFIELD ${page855778723.ds388518707_V_RPT_BAS_AGENCY_INFO_NAME}</w:instrText>
      </w:r>
      <w:r>
        <w:rPr>
          <w:rFonts w:hint="eastAsia" w:ascii="方正小标宋简体" w:hAnsi="方正小标宋简体" w:eastAsia="方正小标宋简体" w:cs="方正小标宋简体"/>
          <w:bCs/>
          <w:spacing w:val="15"/>
          <w:sz w:val="44"/>
          <w:szCs w:val="44"/>
          <w:highlight w:val="none"/>
          <w:lang w:val="en-US" w:eastAsia="zh-CN"/>
        </w:rPr>
        <w:fldChar w:fldCharType="separate"/>
      </w:r>
      <w:r>
        <w:rPr>
          <w:rFonts w:hint="eastAsia" w:ascii="方正小标宋简体" w:hAnsi="方正小标宋简体" w:eastAsia="方正小标宋简体" w:cs="方正小标宋简体"/>
          <w:bCs/>
          <w:spacing w:val="15"/>
          <w:sz w:val="44"/>
          <w:szCs w:val="44"/>
          <w:highlight w:val="none"/>
          <w:lang w:val="en-US" w:eastAsia="zh-CN"/>
        </w:rPr>
        <w:t>丽水市教育教学研究院</w:t>
      </w:r>
      <w:r>
        <w:fldChar w:fldCharType="end"/>
      </w:r>
      <w:r>
        <w:rPr>
          <w:rFonts w:hint="eastAsia" w:ascii="方正小标宋简体" w:hAnsi="方正小标宋简体" w:eastAsia="方正小标宋简体" w:cs="方正小标宋简体"/>
          <w:bCs/>
          <w:spacing w:val="15"/>
          <w:sz w:val="44"/>
          <w:szCs w:val="44"/>
          <w:highlight w:val="none"/>
          <w:lang w:val="en-US" w:eastAsia="zh-CN"/>
        </w:rPr>
        <w:t>2023</w:t>
      </w:r>
      <w:r>
        <w:rPr>
          <w:rFonts w:hint="eastAsia" w:ascii="方正小标宋简体" w:hAnsi="方正小标宋简体" w:eastAsia="方正小标宋简体" w:cs="方正小标宋简体"/>
          <w:bCs/>
          <w:spacing w:val="15"/>
          <w:sz w:val="44"/>
          <w:szCs w:val="44"/>
          <w:highlight w:val="none"/>
        </w:rPr>
        <w:t>年</w:t>
      </w:r>
      <w:r>
        <w:rPr>
          <w:rFonts w:hint="eastAsia" w:ascii="方正小标宋简体" w:hAnsi="方正小标宋简体" w:eastAsia="方正小标宋简体" w:cs="方正小标宋简体"/>
          <w:bCs/>
          <w:spacing w:val="15"/>
          <w:sz w:val="44"/>
          <w:szCs w:val="44"/>
          <w:highlight w:val="none"/>
          <w:lang w:val="en-US" w:eastAsia="zh-CN"/>
        </w:rPr>
        <w:t>单位</w:t>
      </w:r>
      <w:r>
        <w:rPr>
          <w:rFonts w:hint="eastAsia" w:ascii="方正小标宋简体" w:hAnsi="方正小标宋简体" w:eastAsia="方正小标宋简体" w:cs="方正小标宋简体"/>
          <w:bCs/>
          <w:spacing w:val="15"/>
          <w:sz w:val="44"/>
          <w:szCs w:val="44"/>
          <w:highlight w:val="none"/>
        </w:rPr>
        <w:t>预算</w:t>
      </w: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590" w:firstLineChars="196"/>
        <w:textAlignment w:val="auto"/>
        <w:outlineLvl w:val="9"/>
        <w:rPr>
          <w:rStyle w:val="11"/>
          <w:rFonts w:hint="eastAsia"/>
          <w:color w:val="000000"/>
          <w:sz w:val="30"/>
          <w:szCs w:val="30"/>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both"/>
        <w:textAlignment w:val="auto"/>
        <w:outlineLvl w:val="9"/>
        <w:rPr>
          <w:rStyle w:val="11"/>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1"/>
          <w:rFonts w:hint="default" w:ascii="黑体" w:eastAsia="黑体"/>
          <w:b w:val="0"/>
          <w:color w:val="000000"/>
          <w:sz w:val="32"/>
          <w:szCs w:val="32"/>
          <w:highlight w:val="none"/>
          <w:lang w:val="en-US" w:eastAsia="zh-CN"/>
        </w:rPr>
      </w:pPr>
      <w:r>
        <w:rPr>
          <w:rStyle w:val="11"/>
          <w:rFonts w:hint="eastAsia" w:ascii="黑体" w:eastAsia="黑体"/>
          <w:b w:val="0"/>
          <w:color w:val="000000"/>
          <w:sz w:val="32"/>
          <w:szCs w:val="32"/>
          <w:highlight w:val="none"/>
          <w:lang w:val="en-US" w:eastAsia="zh-CN"/>
        </w:rPr>
        <w:t>目录</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rPr>
      </w:pPr>
      <w:r>
        <w:rPr>
          <w:rFonts w:hint="eastAsia" w:ascii="黑体" w:eastAsia="黑体"/>
          <w:color w:val="000000"/>
          <w:sz w:val="32"/>
          <w:highlight w:val="white"/>
        </w:rPr>
        <w:t>一、</w:t>
      </w:r>
      <w:r>
        <w:rPr>
          <w:rFonts w:hint="eastAsia" w:ascii="黑体" w:eastAsia="黑体"/>
          <w:color w:val="000000"/>
          <w:sz w:val="32"/>
          <w:highlight w:val="white"/>
          <w:lang w:val="en-US" w:eastAsia="zh-CN"/>
        </w:rPr>
        <w:t>单位</w:t>
      </w:r>
      <w:r>
        <w:rPr>
          <w:rStyle w:val="11"/>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val="en-US"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11"/>
          <w:rFonts w:hint="eastAsia" w:ascii="黑体" w:eastAsia="黑体"/>
          <w:b w:val="0"/>
          <w:color w:val="000000"/>
          <w:sz w:val="32"/>
          <w:szCs w:val="32"/>
          <w:highlight w:val="none"/>
          <w:lang w:eastAsia="zh-CN"/>
        </w:rPr>
      </w:pPr>
      <w:r>
        <w:rPr>
          <w:rStyle w:val="11"/>
          <w:rFonts w:hint="eastAsia" w:ascii="黑体" w:eastAsia="黑体"/>
          <w:b w:val="0"/>
          <w:color w:val="000000"/>
          <w:sz w:val="32"/>
          <w:szCs w:val="32"/>
          <w:highlight w:val="none"/>
          <w:lang w:eastAsia="zh-CN"/>
        </w:rPr>
        <w:t>二、</w:t>
      </w:r>
      <w:r>
        <w:rPr>
          <w:rStyle w:val="11"/>
          <w:rFonts w:hint="eastAsia" w:ascii="黑体" w:eastAsia="黑体"/>
          <w:b w:val="0"/>
          <w:color w:val="000000"/>
          <w:sz w:val="32"/>
          <w:szCs w:val="32"/>
          <w:highlight w:val="none"/>
          <w:lang w:val="en-US" w:eastAsia="zh-CN"/>
        </w:rPr>
        <w:t>2023</w:t>
      </w:r>
      <w:r>
        <w:rPr>
          <w:rStyle w:val="11"/>
          <w:rFonts w:hint="eastAsia" w:ascii="黑体" w:eastAsia="黑体"/>
          <w:b w:val="0"/>
          <w:color w:val="000000"/>
          <w:sz w:val="32"/>
          <w:szCs w:val="32"/>
          <w:highlight w:val="none"/>
        </w:rPr>
        <w:t>年</w:t>
      </w:r>
      <w:r>
        <w:rPr>
          <w:rStyle w:val="11"/>
          <w:rFonts w:hint="eastAsia" w:ascii="黑体" w:eastAsia="黑体"/>
          <w:b w:val="0"/>
          <w:color w:val="000000"/>
          <w:sz w:val="32"/>
          <w:szCs w:val="32"/>
          <w:highlight w:val="none"/>
        </w:rPr>
        <w:fldChar w:fldCharType="begin"/>
      </w:r>
      <w:r>
        <w:rPr>
          <w:rStyle w:val="11"/>
          <w:rFonts w:hint="eastAsia" w:ascii="黑体" w:eastAsia="黑体"/>
          <w:b w:val="0"/>
          <w:color w:val="000000"/>
          <w:sz w:val="32"/>
          <w:szCs w:val="32"/>
          <w:highlight w:val="none"/>
        </w:rPr>
        <w:instrText xml:space="preserve">MERGEFIELD ${page855778723.ds388518707_V_RPT_BAS_AGENCY_INFO_NAME}</w:instrText>
      </w:r>
      <w:r>
        <w:rPr>
          <w:rStyle w:val="11"/>
          <w:rFonts w:hint="eastAsia" w:ascii="黑体" w:eastAsia="黑体"/>
          <w:b w:val="0"/>
          <w:color w:val="000000"/>
          <w:sz w:val="32"/>
          <w:szCs w:val="32"/>
          <w:highlight w:val="none"/>
        </w:rPr>
        <w:fldChar w:fldCharType="separate"/>
      </w:r>
      <w:r>
        <w:rPr>
          <w:rStyle w:val="11"/>
          <w:rFonts w:hint="eastAsia" w:ascii="黑体" w:eastAsia="黑体"/>
          <w:b w:val="0"/>
          <w:color w:val="000000"/>
          <w:sz w:val="32"/>
          <w:szCs w:val="32"/>
          <w:highlight w:val="none"/>
        </w:rPr>
        <w:t>丽水市教育教学研究院</w:t>
      </w:r>
      <w:r>
        <w:fldChar w:fldCharType="end"/>
      </w:r>
      <w:r>
        <w:rPr>
          <w:rStyle w:val="11"/>
          <w:rFonts w:hint="eastAsia" w:ascii="黑体" w:eastAsia="黑体"/>
          <w:b w:val="0"/>
          <w:color w:val="000000"/>
          <w:sz w:val="32"/>
          <w:szCs w:val="32"/>
          <w:highlight w:val="none"/>
          <w:lang w:val="en-US" w:eastAsia="zh-CN"/>
        </w:rPr>
        <w:t>单位</w:t>
      </w:r>
      <w:r>
        <w:rPr>
          <w:rStyle w:val="11"/>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（八）关于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val="en-US" w:eastAsia="zh-CN"/>
        </w:rPr>
        <w:t>国有资本经营预算</w:t>
      </w:r>
      <w:r>
        <w:rPr>
          <w:rFonts w:hint="eastAsia" w:ascii="楷体_GB2312" w:hAnsi="楷体_GB2312" w:eastAsia="楷体_GB2312" w:cs="楷体_GB2312"/>
          <w:b w:val="0"/>
          <w:bCs/>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eastAsia="zh-CN"/>
        </w:rPr>
        <w:t>（九）关于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丽水市教育教学研究院</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sz w:val="32"/>
          <w:szCs w:val="32"/>
          <w:highlight w:val="none"/>
        </w:rPr>
        <w:t>“三公”经费预算情况</w:t>
      </w:r>
      <w:r>
        <w:rPr>
          <w:rFonts w:hint="eastAsia" w:ascii="楷体_GB2312" w:hAnsi="楷体_GB2312" w:eastAsia="楷体_GB2312" w:cs="楷体_GB2312"/>
          <w:b w:val="0"/>
          <w:bCs/>
          <w:sz w:val="32"/>
          <w:szCs w:val="32"/>
          <w:highlight w:val="none"/>
          <w:lang w:eastAsia="zh-CN"/>
        </w:rPr>
        <w:t>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5"/>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11"/>
          <w:rFonts w:hint="eastAsia" w:ascii="黑体" w:hAnsi="Calibri" w:eastAsia="黑体" w:cs="Times New Roman"/>
          <w:b w:val="0"/>
          <w:color w:val="000000"/>
          <w:kern w:val="2"/>
          <w:sz w:val="32"/>
          <w:szCs w:val="32"/>
          <w:highlight w:val="none"/>
          <w:lang w:val="en-US" w:eastAsia="zh-CN" w:bidi="ar-SA"/>
        </w:rPr>
      </w:pPr>
      <w:r>
        <w:rPr>
          <w:rStyle w:val="11"/>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11"/>
          <w:rFonts w:hint="eastAsia" w:ascii="黑体" w:eastAsia="黑体"/>
          <w:b w:val="0"/>
          <w:color w:val="000000"/>
          <w:sz w:val="32"/>
          <w:szCs w:val="32"/>
          <w:highlight w:val="none"/>
          <w:lang w:eastAsia="zh-CN"/>
        </w:rPr>
      </w:pPr>
      <w:r>
        <w:rPr>
          <w:rStyle w:val="11"/>
          <w:rFonts w:hint="eastAsia" w:ascii="黑体" w:eastAsia="黑体"/>
          <w:b w:val="0"/>
          <w:color w:val="000000"/>
          <w:sz w:val="32"/>
          <w:szCs w:val="32"/>
          <w:highlight w:val="none"/>
          <w:lang w:eastAsia="zh-CN"/>
        </w:rPr>
        <w:t>四、</w:t>
      </w:r>
      <w:r>
        <w:rPr>
          <w:rStyle w:val="11"/>
          <w:rFonts w:hint="eastAsia" w:ascii="黑体" w:eastAsia="黑体"/>
          <w:b w:val="0"/>
          <w:color w:val="000000"/>
          <w:sz w:val="32"/>
          <w:szCs w:val="32"/>
          <w:highlight w:val="none"/>
          <w:lang w:val="en-US" w:eastAsia="zh-CN"/>
        </w:rPr>
        <w:t>2023</w:t>
      </w:r>
      <w:r>
        <w:rPr>
          <w:rStyle w:val="11"/>
          <w:rFonts w:hint="eastAsia" w:ascii="黑体" w:eastAsia="黑体"/>
          <w:b w:val="0"/>
          <w:color w:val="000000"/>
          <w:sz w:val="32"/>
          <w:szCs w:val="32"/>
          <w:highlight w:val="none"/>
        </w:rPr>
        <w:t>年</w:t>
      </w:r>
      <w:r>
        <w:rPr>
          <w:rStyle w:val="11"/>
          <w:rFonts w:hint="eastAsia" w:ascii="黑体" w:eastAsia="黑体"/>
          <w:b w:val="0"/>
          <w:color w:val="000000"/>
          <w:sz w:val="32"/>
          <w:szCs w:val="32"/>
          <w:highlight w:val="none"/>
        </w:rPr>
        <w:fldChar w:fldCharType="begin"/>
      </w:r>
      <w:r>
        <w:rPr>
          <w:rStyle w:val="11"/>
          <w:rFonts w:hint="eastAsia" w:ascii="黑体" w:eastAsia="黑体"/>
          <w:b w:val="0"/>
          <w:color w:val="000000"/>
          <w:sz w:val="32"/>
          <w:szCs w:val="32"/>
          <w:highlight w:val="none"/>
        </w:rPr>
        <w:instrText xml:space="preserve">MERGEFIELD ${page855778723.ds388518707_V_RPT_BAS_AGENCY_INFO_NAME}</w:instrText>
      </w:r>
      <w:r>
        <w:rPr>
          <w:rStyle w:val="11"/>
          <w:rFonts w:hint="eastAsia" w:ascii="黑体" w:eastAsia="黑体"/>
          <w:b w:val="0"/>
          <w:color w:val="000000"/>
          <w:sz w:val="32"/>
          <w:szCs w:val="32"/>
          <w:highlight w:val="none"/>
        </w:rPr>
        <w:fldChar w:fldCharType="separate"/>
      </w:r>
      <w:r>
        <w:rPr>
          <w:rStyle w:val="11"/>
          <w:rFonts w:hint="eastAsia" w:ascii="黑体" w:eastAsia="黑体"/>
          <w:b w:val="0"/>
          <w:color w:val="000000"/>
          <w:sz w:val="32"/>
          <w:szCs w:val="32"/>
          <w:highlight w:val="none"/>
        </w:rPr>
        <w:t>丽水市教育教学研究院</w:t>
      </w:r>
      <w:r>
        <w:fldChar w:fldCharType="end"/>
      </w:r>
      <w:r>
        <w:rPr>
          <w:rStyle w:val="11"/>
          <w:rFonts w:hint="eastAsia" w:ascii="黑体" w:eastAsia="黑体"/>
          <w:b w:val="0"/>
          <w:color w:val="000000"/>
          <w:sz w:val="32"/>
          <w:szCs w:val="32"/>
          <w:highlight w:val="none"/>
          <w:lang w:val="en-US" w:eastAsia="zh-CN"/>
        </w:rPr>
        <w:t>单位</w:t>
      </w:r>
      <w:r>
        <w:rPr>
          <w:rStyle w:val="11"/>
          <w:rFonts w:hint="eastAsia" w:ascii="黑体" w:eastAsia="黑体"/>
          <w:b w:val="0"/>
          <w:color w:val="000000"/>
          <w:sz w:val="32"/>
          <w:szCs w:val="32"/>
          <w:highlight w:val="none"/>
          <w:lang w:eastAsia="zh-CN"/>
        </w:rPr>
        <w:t>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（一）2023年单位收支预算总表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（二）2023年单位收入预算总表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（三）2023年单位支出预算总表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（四）2023年单位财政拨款收支预算总表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（五）2023年单位一般公共预算支出表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（六）2023年单位一般公共预算基本支出表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（七）2023年单位一般公共预算“三公”经费支出表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（八）2023年单位政府性基金预算支出表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（九）2023年单位国有资本经营预算支出表</w:t>
      </w:r>
    </w:p>
    <w:p>
      <w:pPr>
        <w:autoSpaceDE w:val="0"/>
        <w:autoSpaceDN w:val="0"/>
        <w:adjustRightInd w:val="0"/>
        <w:ind w:leftChars="200"/>
        <w:jc w:val="left"/>
        <w:rPr>
          <w:rFonts w:hint="default"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（十）2023年单位项目支出预算表</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rPr>
          <w:rStyle w:val="11"/>
          <w:rFonts w:hint="eastAsia" w:ascii="黑体" w:eastAsia="黑体"/>
          <w:b w:val="0"/>
          <w:color w:val="000000"/>
          <w:sz w:val="32"/>
          <w:szCs w:val="32"/>
          <w:highlight w:val="none"/>
        </w:rPr>
      </w:pPr>
    </w:p>
    <w:p>
      <w:pPr>
        <w:pStyle w:val="2"/>
        <w:tabs>
          <w:tab w:val="left" w:pos="2608"/>
        </w:tabs>
        <w:rPr>
          <w:rStyle w:val="11"/>
          <w:rFonts w:hint="eastAsia" w:ascii="黑体" w:eastAsia="黑体"/>
          <w:b w:val="0"/>
          <w:color w:val="000000"/>
          <w:sz w:val="32"/>
          <w:szCs w:val="32"/>
          <w:highlight w:val="none"/>
          <w:lang w:eastAsia="zh-CN"/>
        </w:rPr>
      </w:pPr>
      <w:r>
        <w:rPr>
          <w:rStyle w:val="11"/>
          <w:rFonts w:hint="eastAsia" w:ascii="黑体" w:eastAsia="黑体"/>
          <w:b w:val="0"/>
          <w:color w:val="000000"/>
          <w:sz w:val="32"/>
          <w:szCs w:val="32"/>
          <w:highlight w:val="none"/>
          <w:lang w:eastAsia="zh-CN"/>
        </w:rPr>
        <w:tab/>
      </w:r>
    </w:p>
    <w:p>
      <w:pPr>
        <w:pStyle w:val="2"/>
        <w:tabs>
          <w:tab w:val="left" w:pos="2608"/>
        </w:tabs>
        <w:rPr>
          <w:rStyle w:val="11"/>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11"/>
          <w:rFonts w:hint="eastAsia" w:ascii="黑体" w:eastAsia="黑体"/>
          <w:b w:val="0"/>
          <w:color w:val="000000"/>
          <w:sz w:val="32"/>
          <w:szCs w:val="32"/>
          <w:highlight w:val="none"/>
        </w:rPr>
      </w:pPr>
      <w:r>
        <w:rPr>
          <w:rStyle w:val="11"/>
          <w:rFonts w:hint="eastAsia" w:ascii="黑体" w:eastAsia="黑体"/>
          <w:b w:val="0"/>
          <w:color w:val="000000"/>
          <w:sz w:val="32"/>
          <w:szCs w:val="32"/>
          <w:highlight w:val="none"/>
        </w:rPr>
        <w:t>一、</w:t>
      </w:r>
      <w:r>
        <w:rPr>
          <w:rStyle w:val="11"/>
          <w:rFonts w:hint="eastAsia" w:ascii="黑体" w:eastAsia="黑体"/>
          <w:b w:val="0"/>
          <w:color w:val="000000"/>
          <w:sz w:val="32"/>
          <w:szCs w:val="32"/>
          <w:highlight w:val="none"/>
          <w:lang w:val="en-US" w:eastAsia="zh-CN"/>
        </w:rPr>
        <w:t>单位</w:t>
      </w:r>
      <w:r>
        <w:rPr>
          <w:rStyle w:val="11"/>
          <w:rFonts w:hint="eastAsia" w:ascii="黑体" w:eastAsia="黑体"/>
          <w:b w:val="0"/>
          <w:color w:val="000000"/>
          <w:sz w:val="32"/>
          <w:szCs w:val="32"/>
          <w:highlight w:val="none"/>
        </w:rPr>
        <w:t>概况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hAnsi="仿宋_GB2312" w:eastAsia="仿宋_GB2312" w:cs="仿宋_GB2312"/>
          <w:b w:val="0"/>
          <w:bCs/>
          <w:sz w:val="32"/>
          <w:szCs w:val="32"/>
          <w:highlight w:val="none"/>
          <w:lang w:eastAsia="zh-CN"/>
        </w:rPr>
      </w:pPr>
      <w:r>
        <w:rPr>
          <w:rFonts w:hint="eastAsia" w:ascii="仿宋_GB2312" w:hAnsi="仿宋_GB2312" w:eastAsia="仿宋_GB2312" w:cs="仿宋_GB2312"/>
          <w:b w:val="0"/>
          <w:bCs/>
          <w:sz w:val="32"/>
          <w:szCs w:val="32"/>
          <w:highlight w:val="none"/>
        </w:rPr>
        <w:t>（一）主要职能</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Cs/>
          <w:color w:val="000000"/>
          <w:sz w:val="32"/>
          <w:szCs w:val="32"/>
          <w:highlight w:val="none"/>
        </w:rPr>
        <w:t xml:space="preserve"> </w:t>
      </w:r>
      <w:r>
        <w:rPr>
          <w:rFonts w:hint="eastAsia" w:ascii="仿宋_GB2312" w:hAnsi="仿宋_GB2312" w:eastAsia="仿宋_GB2312" w:cs="仿宋_GB2312"/>
          <w:color w:val="000000"/>
          <w:kern w:val="0"/>
          <w:sz w:val="32"/>
          <w:szCs w:val="32"/>
        </w:rPr>
        <w:t>丽水市教育教学研究</w:t>
      </w:r>
      <w:r>
        <w:rPr>
          <w:rFonts w:hint="eastAsia" w:ascii="仿宋_GB2312" w:hAnsi="仿宋_GB2312" w:eastAsia="仿宋_GB2312" w:cs="仿宋_GB2312"/>
          <w:color w:val="000000"/>
          <w:kern w:val="0"/>
          <w:sz w:val="32"/>
          <w:szCs w:val="32"/>
          <w:lang w:val="en-US" w:eastAsia="zh-CN"/>
        </w:rPr>
        <w:t>院为</w:t>
      </w:r>
      <w:r>
        <w:rPr>
          <w:rFonts w:hint="eastAsia" w:ascii="仿宋_GB2312" w:hAnsi="仿宋_GB2312" w:eastAsia="仿宋_GB2312" w:cs="仿宋_GB2312"/>
          <w:color w:val="000000"/>
          <w:kern w:val="0"/>
          <w:sz w:val="32"/>
          <w:szCs w:val="32"/>
        </w:rPr>
        <w:t>丽水市教育局</w:t>
      </w:r>
      <w:r>
        <w:rPr>
          <w:rFonts w:hint="eastAsia" w:ascii="仿宋_GB2312" w:hAnsi="仿宋_GB2312" w:eastAsia="仿宋_GB2312" w:cs="仿宋_GB2312"/>
          <w:color w:val="000000"/>
          <w:kern w:val="0"/>
          <w:sz w:val="32"/>
          <w:szCs w:val="32"/>
          <w:lang w:val="en-US" w:eastAsia="zh-CN"/>
        </w:rPr>
        <w:t>管理的</w:t>
      </w:r>
      <w:r>
        <w:rPr>
          <w:rFonts w:hint="eastAsia" w:ascii="仿宋_GB2312" w:hAnsi="仿宋_GB2312" w:eastAsia="仿宋_GB2312" w:cs="仿宋_GB2312"/>
          <w:color w:val="000000"/>
          <w:kern w:val="0"/>
          <w:sz w:val="32"/>
          <w:szCs w:val="32"/>
        </w:rPr>
        <w:t>公益一类事业单位</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机构规格相当于副处级，主要职责是：</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1.承担全市学前教育和中小学教育理论、政策、实践研究，为全市学前教育和中小学教育的政策制定与实践提供专业支持。</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2.指导全市学前教育和中小学教学研究事业发展，负责全市教研队伍建设，统筹全市教研工作，承担教研业务指导。</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3，负责全市学前教育和中小学教育课程改革和业务指导，落实国家课程方案、课程标准和相关教材的实施。</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4.承担全市学前教育和中小学教育教学资源建设，并指导教育教学实践和研究。</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5.指导全市学前教育和中小学教育评价研究，指导学科作业设计、学科考试命题和教学质量评价，组织中小学教学质量监测工作。</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6.承担全市学前教育和中小学教师继续教育等相关工作，服务教师专业成长。</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7.指导全市教育科研事业发展，统筹全市教育科研课题管理、成果评审和推荐。</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8.承担全市中小学心理健康教育规划、管理和业务指导。</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9.承担中小学德育、班主任队伍建设与劳动教育研究。</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10.承担全市普通话等级测试工作。</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11.承担相关学术团体管理指导工作。</w:t>
      </w:r>
    </w:p>
    <w:p>
      <w:pPr>
        <w:keepNext w:val="0"/>
        <w:keepLines w:val="0"/>
        <w:pageBreakBefore w:val="0"/>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12.完成市教育局交办的其他工作。</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sz w:val="32"/>
          <w:szCs w:val="32"/>
          <w:highlight w:val="none"/>
        </w:rPr>
        <w:t>（二）</w:t>
      </w:r>
      <w:r>
        <w:rPr>
          <w:rFonts w:hint="eastAsia" w:ascii="仿宋_GB2312" w:hAnsi="仿宋_GB2312" w:eastAsia="仿宋_GB2312" w:cs="仿宋_GB2312"/>
          <w:b w:val="0"/>
          <w:bCs/>
          <w:sz w:val="32"/>
          <w:szCs w:val="32"/>
          <w:highlight w:val="none"/>
          <w:lang w:eastAsia="zh-CN"/>
        </w:rPr>
        <w:t>单位</w:t>
      </w:r>
      <w:r>
        <w:rPr>
          <w:rFonts w:hint="eastAsia" w:ascii="仿宋_GB2312" w:hAnsi="仿宋_GB2312" w:eastAsia="仿宋_GB2312" w:cs="仿宋_GB2312"/>
          <w:b w:val="0"/>
          <w:bCs/>
          <w:sz w:val="32"/>
          <w:szCs w:val="32"/>
          <w:highlight w:val="none"/>
        </w:rPr>
        <w:t>机构设置情况</w:t>
      </w:r>
    </w:p>
    <w:p>
      <w:pPr>
        <w:pStyle w:val="2"/>
        <w:ind w:firstLine="624"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auto"/>
          <w:spacing w:val="-4"/>
          <w:sz w:val="32"/>
          <w:szCs w:val="32"/>
          <w:lang w:val="en-US" w:eastAsia="zh-CN"/>
        </w:rPr>
        <w:t>丽水</w:t>
      </w:r>
      <w:r>
        <w:rPr>
          <w:rFonts w:hint="eastAsia" w:ascii="仿宋_GB2312" w:hAnsi="仿宋_GB2312" w:eastAsia="仿宋_GB2312" w:cs="仿宋_GB2312"/>
          <w:color w:val="auto"/>
          <w:spacing w:val="-4"/>
          <w:sz w:val="32"/>
          <w:szCs w:val="32"/>
        </w:rPr>
        <w:t>市</w:t>
      </w:r>
      <w:r>
        <w:rPr>
          <w:rFonts w:hint="eastAsia" w:ascii="仿宋_GB2312" w:hAnsi="仿宋_GB2312" w:eastAsia="仿宋_GB2312" w:cs="仿宋_GB2312"/>
          <w:color w:val="auto"/>
          <w:spacing w:val="-4"/>
          <w:sz w:val="32"/>
          <w:szCs w:val="32"/>
          <w:lang w:val="en-US" w:eastAsia="zh-CN"/>
        </w:rPr>
        <w:t>教育教学研究院</w:t>
      </w:r>
      <w:r>
        <w:rPr>
          <w:rFonts w:hint="eastAsia" w:ascii="仿宋_GB2312" w:hAnsi="仿宋_GB2312" w:eastAsia="仿宋_GB2312" w:cs="仿宋_GB2312"/>
          <w:color w:val="auto"/>
          <w:sz w:val="32"/>
          <w:szCs w:val="32"/>
        </w:rPr>
        <w:t>内设办公室、高中教育教学研究部、中职教育教学研究部、初中教育教学研究部、小幼教育教学研究部、教师发展研训中心、教育评价研究中心、教育科学研究中心、普通话测试中心等9个部门</w:t>
      </w:r>
      <w:r>
        <w:rPr>
          <w:rFonts w:hint="eastAsia" w:ascii="仿宋_GB2312" w:hAnsi="仿宋_GB2312" w:eastAsia="仿宋_GB2312" w:cs="仿宋_GB2312"/>
          <w:color w:val="auto"/>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Style w:val="11"/>
          <w:rFonts w:hint="eastAsia" w:ascii="黑体" w:hAnsi="黑体" w:eastAsia="黑体" w:cs="黑体"/>
          <w:b w:val="0"/>
          <w:color w:val="000000"/>
          <w:sz w:val="32"/>
          <w:szCs w:val="32"/>
          <w:highlight w:val="none"/>
          <w:lang w:eastAsia="zh-CN"/>
        </w:rPr>
      </w:pPr>
      <w:r>
        <w:rPr>
          <w:rStyle w:val="11"/>
          <w:rFonts w:hint="eastAsia" w:ascii="仿宋_GB2312" w:hAnsi="仿宋_GB2312" w:eastAsia="仿宋_GB2312" w:cs="仿宋_GB2312"/>
          <w:b w:val="0"/>
          <w:color w:val="000000"/>
          <w:sz w:val="32"/>
          <w:szCs w:val="32"/>
          <w:highlight w:val="none"/>
          <w:lang w:val="en-US" w:eastAsia="zh-CN"/>
        </w:rPr>
        <w:t xml:space="preserve">   </w:t>
      </w:r>
      <w:r>
        <w:rPr>
          <w:rStyle w:val="11"/>
          <w:rFonts w:hint="eastAsia" w:ascii="黑体" w:hAnsi="黑体" w:eastAsia="黑体" w:cs="黑体"/>
          <w:b w:val="0"/>
          <w:color w:val="000000"/>
          <w:sz w:val="32"/>
          <w:szCs w:val="32"/>
          <w:highlight w:val="none"/>
          <w:lang w:val="en-US" w:eastAsia="zh-CN"/>
        </w:rPr>
        <w:t xml:space="preserve"> </w:t>
      </w:r>
      <w:r>
        <w:rPr>
          <w:rStyle w:val="11"/>
          <w:rFonts w:hint="eastAsia" w:ascii="黑体" w:hAnsi="黑体" w:eastAsia="黑体" w:cs="黑体"/>
          <w:b w:val="0"/>
          <w:color w:val="000000"/>
          <w:sz w:val="32"/>
          <w:szCs w:val="32"/>
          <w:highlight w:val="none"/>
          <w:lang w:eastAsia="zh-CN"/>
        </w:rPr>
        <w:t>二、</w:t>
      </w:r>
      <w:r>
        <w:rPr>
          <w:rStyle w:val="11"/>
          <w:rFonts w:hint="eastAsia" w:ascii="黑体" w:hAnsi="黑体" w:eastAsia="黑体" w:cs="黑体"/>
          <w:b w:val="0"/>
          <w:color w:val="000000"/>
          <w:sz w:val="32"/>
          <w:szCs w:val="32"/>
          <w:highlight w:val="none"/>
          <w:lang w:val="en-US" w:eastAsia="zh-CN"/>
        </w:rPr>
        <w:t>2023</w:t>
      </w:r>
      <w:r>
        <w:rPr>
          <w:rStyle w:val="11"/>
          <w:rFonts w:hint="eastAsia" w:ascii="黑体" w:hAnsi="黑体" w:eastAsia="黑体" w:cs="黑体"/>
          <w:b w:val="0"/>
          <w:color w:val="000000"/>
          <w:sz w:val="32"/>
          <w:szCs w:val="32"/>
          <w:highlight w:val="none"/>
        </w:rPr>
        <w:t>年</w:t>
      </w:r>
      <w:r>
        <w:rPr>
          <w:rStyle w:val="11"/>
          <w:rFonts w:hint="eastAsia" w:ascii="黑体" w:hAnsi="黑体" w:eastAsia="黑体" w:cs="黑体"/>
          <w:b w:val="0"/>
          <w:color w:val="000000"/>
          <w:sz w:val="32"/>
          <w:szCs w:val="32"/>
          <w:highlight w:val="none"/>
        </w:rPr>
        <w:fldChar w:fldCharType="begin"/>
      </w:r>
      <w:r>
        <w:rPr>
          <w:rStyle w:val="11"/>
          <w:rFonts w:hint="eastAsia" w:ascii="黑体" w:hAnsi="黑体" w:eastAsia="黑体" w:cs="黑体"/>
          <w:b w:val="0"/>
          <w:color w:val="000000"/>
          <w:sz w:val="32"/>
          <w:szCs w:val="32"/>
          <w:highlight w:val="none"/>
        </w:rPr>
        <w:instrText xml:space="preserve">MERGEFIELD ${page855778723.ds388518707_V_RPT_BAS_AGENCY_INFO_NAME}</w:instrText>
      </w:r>
      <w:r>
        <w:rPr>
          <w:rStyle w:val="11"/>
          <w:rFonts w:hint="eastAsia" w:ascii="黑体" w:hAnsi="黑体" w:eastAsia="黑体" w:cs="黑体"/>
          <w:b w:val="0"/>
          <w:color w:val="000000"/>
          <w:sz w:val="32"/>
          <w:szCs w:val="32"/>
          <w:highlight w:val="none"/>
        </w:rPr>
        <w:fldChar w:fldCharType="separate"/>
      </w:r>
      <w:r>
        <w:rPr>
          <w:rStyle w:val="11"/>
          <w:rFonts w:hint="eastAsia" w:ascii="黑体" w:hAnsi="黑体" w:eastAsia="黑体" w:cs="黑体"/>
          <w:b w:val="0"/>
          <w:color w:val="000000"/>
          <w:sz w:val="32"/>
          <w:szCs w:val="32"/>
          <w:highlight w:val="none"/>
        </w:rPr>
        <w:t>丽水市教育教学研究院</w:t>
      </w:r>
      <w:r>
        <w:rPr>
          <w:rFonts w:hint="eastAsia" w:ascii="黑体" w:hAnsi="黑体" w:eastAsia="黑体" w:cs="黑体"/>
          <w:sz w:val="32"/>
          <w:szCs w:val="32"/>
        </w:rPr>
        <w:fldChar w:fldCharType="end"/>
      </w:r>
      <w:r>
        <w:rPr>
          <w:rStyle w:val="11"/>
          <w:rFonts w:hint="eastAsia" w:ascii="黑体" w:hAnsi="黑体" w:eastAsia="黑体" w:cs="黑体"/>
          <w:b w:val="0"/>
          <w:color w:val="000000"/>
          <w:sz w:val="32"/>
          <w:szCs w:val="32"/>
          <w:highlight w:val="none"/>
          <w:lang w:val="en-US" w:eastAsia="zh-CN"/>
        </w:rPr>
        <w:t>单位</w:t>
      </w:r>
      <w:r>
        <w:rPr>
          <w:rStyle w:val="11"/>
          <w:rFonts w:hint="eastAsia" w:ascii="黑体" w:hAnsi="黑体" w:eastAsia="黑体" w:cs="黑体"/>
          <w:b w:val="0"/>
          <w:color w:val="000000"/>
          <w:sz w:val="32"/>
          <w:szCs w:val="32"/>
          <w:highlight w:val="none"/>
        </w:rPr>
        <w:t>预算安排情况说明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bCs/>
          <w:color w:val="000000"/>
          <w:sz w:val="32"/>
          <w:szCs w:val="32"/>
          <w:highlight w:val="none"/>
        </w:rPr>
        <w:t>　　</w:t>
      </w:r>
      <w:r>
        <w:rPr>
          <w:rFonts w:hint="eastAsia" w:ascii="仿宋_GB2312" w:hAnsi="仿宋_GB2312" w:eastAsia="仿宋_GB2312" w:cs="仿宋_GB2312"/>
          <w:b w:val="0"/>
          <w:bCs w:val="0"/>
          <w:color w:val="000000"/>
          <w:sz w:val="32"/>
          <w:szCs w:val="32"/>
          <w:highlight w:val="none"/>
        </w:rPr>
        <w:t>（一）</w:t>
      </w:r>
      <w:r>
        <w:rPr>
          <w:rFonts w:hint="eastAsia" w:ascii="仿宋_GB2312" w:hAnsi="仿宋_GB2312" w:eastAsia="仿宋_GB2312" w:cs="仿宋_GB2312"/>
          <w:b w:val="0"/>
          <w:bCs w:val="0"/>
          <w:color w:val="000000"/>
          <w:sz w:val="32"/>
          <w:szCs w:val="32"/>
          <w:highlight w:val="none"/>
          <w:lang w:eastAsia="zh-CN"/>
        </w:rPr>
        <w:t>关于</w:t>
      </w:r>
      <w:r>
        <w:rPr>
          <w:rFonts w:hint="eastAsia" w:ascii="仿宋_GB2312" w:hAnsi="仿宋_GB2312" w:eastAsia="仿宋_GB2312" w:cs="仿宋_GB2312"/>
          <w:b w:val="0"/>
          <w:bCs w:val="0"/>
          <w:color w:val="000000"/>
          <w:sz w:val="32"/>
          <w:szCs w:val="32"/>
          <w:highlight w:val="none"/>
          <w:lang w:eastAsia="zh-CN"/>
        </w:rPr>
        <w:fldChar w:fldCharType="begin"/>
      </w:r>
      <w:r>
        <w:rPr>
          <w:rFonts w:hint="eastAsia" w:ascii="仿宋_GB2312" w:hAnsi="仿宋_GB2312" w:eastAsia="仿宋_GB2312" w:cs="仿宋_GB2312"/>
          <w:b w:val="0"/>
          <w:bCs w:val="0"/>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val="0"/>
          <w:color w:val="000000"/>
          <w:sz w:val="32"/>
          <w:szCs w:val="32"/>
          <w:highlight w:val="none"/>
          <w:lang w:eastAsia="zh-CN"/>
        </w:rPr>
        <w:fldChar w:fldCharType="separate"/>
      </w:r>
      <w:r>
        <w:rPr>
          <w:rFonts w:hint="eastAsia" w:ascii="仿宋_GB2312" w:hAnsi="仿宋_GB2312" w:eastAsia="仿宋_GB2312" w:cs="仿宋_GB2312"/>
          <w:b w:val="0"/>
          <w:bCs w:val="0"/>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Style w:val="11"/>
          <w:rFonts w:hint="eastAsia" w:ascii="仿宋_GB2312" w:hAnsi="仿宋_GB2312" w:eastAsia="仿宋_GB2312" w:cs="仿宋_GB2312"/>
          <w:b w:val="0"/>
          <w:bCs w:val="0"/>
          <w:color w:val="000000"/>
          <w:sz w:val="32"/>
          <w:szCs w:val="32"/>
          <w:highlight w:val="none"/>
          <w:lang w:val="en-US" w:eastAsia="zh-CN"/>
        </w:rPr>
        <w:t>2023</w:t>
      </w:r>
      <w:r>
        <w:rPr>
          <w:rStyle w:val="11"/>
          <w:rFonts w:hint="eastAsia" w:ascii="仿宋_GB2312" w:hAnsi="仿宋_GB2312" w:eastAsia="仿宋_GB2312" w:cs="仿宋_GB2312"/>
          <w:b w:val="0"/>
          <w:bCs w:val="0"/>
          <w:color w:val="000000"/>
          <w:sz w:val="32"/>
          <w:szCs w:val="32"/>
          <w:highlight w:val="none"/>
        </w:rPr>
        <w:t>年</w:t>
      </w:r>
      <w:r>
        <w:rPr>
          <w:rStyle w:val="11"/>
          <w:rFonts w:hint="eastAsia" w:ascii="仿宋_GB2312" w:hAnsi="仿宋_GB2312" w:eastAsia="仿宋_GB2312" w:cs="仿宋_GB2312"/>
          <w:b w:val="0"/>
          <w:bCs w:val="0"/>
          <w:color w:val="000000"/>
          <w:sz w:val="32"/>
          <w:szCs w:val="32"/>
          <w:highlight w:val="none"/>
          <w:lang w:eastAsia="zh-CN"/>
        </w:rPr>
        <w:t>收支预算情况的总体说明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hAnsi="仿宋_GB2312" w:eastAsia="仿宋_GB2312" w:cs="仿宋_GB2312"/>
          <w:b/>
          <w:color w:val="000000"/>
          <w:sz w:val="32"/>
          <w:szCs w:val="32"/>
          <w:highlight w:val="none"/>
          <w:lang w:val="en-US"/>
        </w:rPr>
      </w:pPr>
      <w:r>
        <w:rPr>
          <w:rFonts w:hint="eastAsia" w:ascii="仿宋_GB2312" w:hAnsi="仿宋_GB2312" w:eastAsia="仿宋_GB2312" w:cs="仿宋_GB2312"/>
          <w:b/>
          <w:color w:val="000000"/>
          <w:sz w:val="32"/>
          <w:szCs w:val="32"/>
          <w:highlight w:val="none"/>
          <w:lang w:val="en-US" w:eastAsia="zh-CN"/>
        </w:rPr>
        <w:t xml:space="preserve">   </w:t>
      </w:r>
      <w:r>
        <w:rPr>
          <w:rFonts w:hint="eastAsia" w:ascii="仿宋_GB2312" w:hAnsi="仿宋_GB2312" w:eastAsia="仿宋_GB2312" w:cs="仿宋_GB2312"/>
          <w:b w:val="0"/>
          <w:bCs/>
          <w:color w:val="000000"/>
          <w:sz w:val="32"/>
          <w:szCs w:val="32"/>
          <w:highlight w:val="none"/>
          <w:lang w:val="en-US" w:eastAsia="zh-CN"/>
        </w:rPr>
        <w:t xml:space="preserve"> 按照</w:t>
      </w:r>
      <w:r>
        <w:rPr>
          <w:rFonts w:hint="eastAsia" w:ascii="仿宋_GB2312" w:hAnsi="仿宋_GB2312" w:eastAsia="仿宋_GB2312" w:cs="仿宋_GB2312"/>
          <w:b w:val="0"/>
          <w:bCs/>
          <w:sz w:val="32"/>
          <w:szCs w:val="32"/>
          <w:highlight w:val="none"/>
          <w:lang w:val="en-US" w:eastAsia="zh-CN"/>
        </w:rPr>
        <w:t>综合预算的原则，</w:t>
      </w:r>
      <w:r>
        <w:rPr>
          <w:rFonts w:hint="eastAsia" w:ascii="仿宋_GB2312" w:hAnsi="仿宋_GB2312" w:eastAsia="仿宋_GB2312" w:cs="仿宋_GB2312"/>
          <w:b w:val="0"/>
          <w:bCs/>
          <w:sz w:val="32"/>
          <w:szCs w:val="32"/>
          <w:highlight w:val="none"/>
          <w:lang w:val="en-US" w:eastAsia="zh-CN"/>
        </w:rPr>
        <w:fldChar w:fldCharType="begin"/>
      </w:r>
      <w:r>
        <w:rPr>
          <w:rFonts w:hint="eastAsia" w:ascii="仿宋_GB2312" w:hAnsi="仿宋_GB2312" w:eastAsia="仿宋_GB2312" w:cs="仿宋_GB2312"/>
          <w:b w:val="0"/>
          <w:bCs/>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b w:val="0"/>
          <w:bCs/>
          <w:sz w:val="32"/>
          <w:szCs w:val="32"/>
          <w:highlight w:val="none"/>
          <w:lang w:val="en-US" w:eastAsia="zh-CN"/>
        </w:rPr>
        <w:fldChar w:fldCharType="separate"/>
      </w:r>
      <w:r>
        <w:rPr>
          <w:rFonts w:hint="eastAsia" w:ascii="仿宋_GB2312" w:hAnsi="仿宋_GB2312" w:eastAsia="仿宋_GB2312" w:cs="仿宋_GB2312"/>
          <w:b w:val="0"/>
          <w:bCs/>
          <w:sz w:val="32"/>
          <w:szCs w:val="32"/>
          <w:highlight w:val="none"/>
          <w:lang w:val="en-US"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eastAsia="zh-CN"/>
        </w:rPr>
        <w:t>所有收入和支出均纳入部门预算管理。收入包括：一般公共预算拨款收入、</w:t>
      </w:r>
      <w:r>
        <w:rPr>
          <w:rFonts w:hint="eastAsia" w:ascii="仿宋_GB2312" w:hAnsi="仿宋_GB2312" w:eastAsia="仿宋_GB2312" w:cs="仿宋_GB2312"/>
          <w:color w:val="000000"/>
          <w:sz w:val="32"/>
          <w:szCs w:val="32"/>
          <w:highlight w:val="none"/>
          <w:lang w:val="en-US" w:eastAsia="zh-CN"/>
        </w:rPr>
        <w:t>财政专户管理</w:t>
      </w:r>
      <w:r>
        <w:rPr>
          <w:rFonts w:hint="eastAsia" w:ascii="仿宋_GB2312" w:hAnsi="仿宋_GB2312" w:eastAsia="仿宋_GB2312" w:cs="仿宋_GB2312"/>
          <w:color w:val="000000"/>
          <w:sz w:val="32"/>
          <w:szCs w:val="32"/>
          <w:highlight w:val="none"/>
          <w:lang w:eastAsia="zh-CN"/>
        </w:rPr>
        <w:t>资金收入、事业收入、上年结转</w:t>
      </w:r>
      <w:r>
        <w:rPr>
          <w:rFonts w:hint="eastAsia" w:ascii="仿宋_GB2312" w:hAnsi="仿宋_GB2312" w:eastAsia="仿宋_GB2312" w:cs="仿宋_GB2312"/>
          <w:color w:val="000000"/>
          <w:sz w:val="32"/>
          <w:szCs w:val="32"/>
          <w:highlight w:val="none"/>
          <w:lang w:val="en-US" w:eastAsia="zh-CN"/>
        </w:rPr>
        <w:t>结余</w:t>
      </w:r>
      <w:r>
        <w:rPr>
          <w:rFonts w:hint="eastAsia" w:ascii="仿宋_GB2312" w:hAnsi="仿宋_GB2312" w:eastAsia="仿宋_GB2312" w:cs="仿宋_GB2312"/>
          <w:color w:val="000000"/>
          <w:sz w:val="32"/>
          <w:szCs w:val="32"/>
          <w:highlight w:val="none"/>
          <w:lang w:eastAsia="zh-CN"/>
        </w:rPr>
        <w:t>；支出包括：一般公共服务支出、教育支出、社会保障和就业支出、卫生健康支出，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2023年收支总预算</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${page855778723.ds388518707_V_REP_BGT_DEP_INCOME_DEP_BGT_REV}</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2436.56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val="en-US" w:eastAsia="zh-CN"/>
        </w:rPr>
        <w:t>（二）</w:t>
      </w:r>
      <w:r>
        <w:rPr>
          <w:rFonts w:hint="eastAsia" w:ascii="仿宋_GB2312" w:hAnsi="仿宋_GB2312" w:eastAsia="仿宋_GB2312" w:cs="仿宋_GB2312"/>
          <w:b w:val="0"/>
          <w:bCs/>
          <w:color w:val="000000"/>
          <w:sz w:val="32"/>
          <w:szCs w:val="32"/>
          <w:highlight w:val="none"/>
          <w:lang w:eastAsia="zh-CN"/>
        </w:rPr>
        <w:t>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年收入预算</w:t>
      </w:r>
      <w:r>
        <w:rPr>
          <w:rFonts w:hint="eastAsia" w:ascii="仿宋_GB2312" w:hAnsi="仿宋_GB2312" w:eastAsia="仿宋_GB2312" w:cs="仿宋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hAnsi="仿宋_GB2312" w:eastAsia="仿宋_GB2312" w:cs="仿宋_GB2312"/>
          <w:color w:val="000000"/>
          <w:sz w:val="32"/>
          <w:szCs w:val="32"/>
          <w:highlight w:val="none"/>
          <w:vertAlign w:val="baseline"/>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丽水市教育教学研究院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年收入预算</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${page855778723.ds388518707_V_REP_BGT_DEP_INCOME_DEP_BGT_REV}</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2436.56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000000"/>
          <w:sz w:val="32"/>
          <w:szCs w:val="32"/>
          <w:highlight w:val="none"/>
          <w:lang w:val="en-US" w:eastAsia="zh-CN"/>
        </w:rPr>
        <w:t>下降2.1万元，下降0.01</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主要是“教材售后服务费”项目经费的减少。</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rPr>
        <w:t>其中：</w:t>
      </w:r>
      <w:r>
        <w:rPr>
          <w:rFonts w:hint="eastAsia" w:ascii="仿宋_GB2312" w:hAnsi="仿宋_GB2312" w:eastAsia="仿宋_GB2312" w:cs="仿宋_GB2312"/>
          <w:color w:val="000000"/>
          <w:sz w:val="32"/>
          <w:szCs w:val="32"/>
          <w:highlight w:val="none"/>
          <w:lang w:eastAsia="zh-CN"/>
        </w:rPr>
        <w:t>一般公共预算拨款收入</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${page928547437.ds208165674_V_RPT_BGT_SHOUZHI_AMTYBGGYSZJ1}</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2387.56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上年结转</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${page296906908.ds669801938_V_RPT_BGT_T_HC1100002019_YISHANG_AMTYBGGYSZJ2}</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1.61</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lang w:val="en-US" w:eastAsia="zh-CN"/>
        </w:rPr>
        <w:t>万元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，占</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${page928547437.ds208165674_ComputeCol20220214184956}</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98.0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%；专户资金</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${page855778723.ds388518707_V_REP_BGT_DEP_INCOME_FIN_SPE_INCOME}</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30.00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万元，占</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${page855778723.ds388518707_ComputeCol20220214210706}</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1.2</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其他收入</w:t>
      </w:r>
      <w:r>
        <w:rPr>
          <w:rFonts w:hint="eastAsia" w:ascii="仿宋_GB2312" w:hAnsi="仿宋_GB2312" w:eastAsia="仿宋_GB2312" w:cs="仿宋_GB2312"/>
          <w:color w:val="000000"/>
          <w:sz w:val="32"/>
          <w:szCs w:val="32"/>
          <w:highlight w:val="none"/>
          <w:lang w:val="en-US" w:eastAsia="zh-CN"/>
        </w:rPr>
        <w:t>19</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${page855778723.ds388518707_V_REP_BGT_DEP_INCOME_OTHER_INCOME}</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.00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上年结转</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，占</w:t>
      </w:r>
      <w:r>
        <w:rPr>
          <w:rFonts w:hint="eastAsia" w:ascii="仿宋_GB2312" w:hAnsi="仿宋_GB2312" w:eastAsia="仿宋_GB2312" w:cs="仿宋_GB2312"/>
          <w:color w:val="000000"/>
          <w:sz w:val="32"/>
          <w:szCs w:val="32"/>
          <w:highlight w:val="none"/>
          <w:lang w:val="en-US" w:eastAsia="zh-CN"/>
        </w:rPr>
        <w:t>0.8</w:t>
      </w:r>
      <w:r>
        <w:rPr>
          <w:rFonts w:hint="eastAsia" w:ascii="仿宋_GB2312" w:hAnsi="仿宋_GB2312" w:eastAsia="仿宋_GB2312" w:cs="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b w:val="0"/>
          <w:bCs/>
          <w:color w:val="000000"/>
          <w:sz w:val="32"/>
          <w:szCs w:val="32"/>
          <w:highlight w:val="none"/>
          <w:lang w:eastAsia="zh-CN"/>
        </w:rPr>
        <w:t>三</w:t>
      </w:r>
      <w:r>
        <w:rPr>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b w:val="0"/>
          <w:bCs/>
          <w:color w:val="000000"/>
          <w:sz w:val="32"/>
          <w:szCs w:val="32"/>
          <w:highlight w:val="none"/>
          <w:lang w:eastAsia="zh-CN"/>
        </w:rPr>
        <w:t>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年支出预算</w:t>
      </w:r>
      <w:r>
        <w:rPr>
          <w:rFonts w:hint="eastAsia" w:ascii="仿宋_GB2312" w:hAnsi="仿宋_GB2312" w:eastAsia="仿宋_GB2312" w:cs="仿宋_GB2312"/>
          <w:b w:val="0"/>
          <w:bCs/>
          <w:color w:val="000000"/>
          <w:sz w:val="32"/>
          <w:szCs w:val="32"/>
          <w:highlight w:val="none"/>
          <w:lang w:eastAsia="zh-CN"/>
        </w:rPr>
        <w:t>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　</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丽水市教育教学研究院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年支出预算</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${page991221988.ds669801938_V_RPT_BGT_T_HC1100002019_YISHANG_AMTHJ}</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2436.56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比上年执行数增</w:t>
      </w:r>
      <w:r>
        <w:rPr>
          <w:rFonts w:hint="eastAsia" w:ascii="仿宋_GB2312" w:hAnsi="仿宋_GB2312" w:eastAsia="仿宋_GB2312" w:cs="仿宋_GB2312"/>
          <w:color w:val="000000"/>
          <w:sz w:val="32"/>
          <w:szCs w:val="32"/>
          <w:highlight w:val="none"/>
          <w:lang w:val="en-US" w:eastAsia="zh-CN"/>
        </w:rPr>
        <w:t>加55.63万元，</w:t>
      </w:r>
      <w:r>
        <w:rPr>
          <w:rFonts w:hint="eastAsia" w:ascii="仿宋_GB2312" w:hAnsi="仿宋_GB2312" w:eastAsia="仿宋_GB2312" w:cs="仿宋_GB2312"/>
          <w:color w:val="000000"/>
          <w:sz w:val="32"/>
          <w:szCs w:val="32"/>
          <w:highlight w:val="none"/>
        </w:rPr>
        <w:t>增长</w:t>
      </w:r>
      <w:r>
        <w:rPr>
          <w:rFonts w:hint="eastAsia" w:ascii="仿宋_GB2312" w:hAnsi="仿宋_GB2312" w:eastAsia="仿宋_GB2312" w:cs="仿宋_GB2312"/>
          <w:color w:val="000000"/>
          <w:sz w:val="32"/>
          <w:szCs w:val="32"/>
          <w:highlight w:val="none"/>
          <w:lang w:val="en-US" w:eastAsia="zh-CN"/>
        </w:rPr>
        <w:t>2.34</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主要是“教师培训”项目经费的增加。</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1.按支出功能分类，包括</w:t>
      </w:r>
      <w:r>
        <w:rPr>
          <w:rFonts w:hint="eastAsia" w:ascii="仿宋_GB2312" w:hAnsi="仿宋_GB2312" w:eastAsia="仿宋_GB2312" w:cs="仿宋_GB2312"/>
          <w:color w:val="000000"/>
          <w:sz w:val="32"/>
          <w:szCs w:val="32"/>
          <w:highlight w:val="none"/>
          <w:lang w:eastAsia="zh-CN"/>
        </w:rPr>
        <w:t>教育支出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${page991221988.ds669801938_ExpandCol7778831925}</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2195.13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、社会保障和就业支出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${page991221988.ds669801938_ExpandCol1793838688}</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128.76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、卫生健康支出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${page991221988.ds669801938_ExpandCol61236023910}</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112.68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2.按支出用途分类，</w:t>
      </w:r>
      <w:r>
        <w:rPr>
          <w:rFonts w:hint="eastAsia" w:ascii="仿宋_GB2312" w:hAnsi="仿宋_GB2312" w:eastAsia="仿宋_GB2312" w:cs="仿宋_GB2312"/>
          <w:color w:val="000000"/>
          <w:sz w:val="32"/>
          <w:szCs w:val="32"/>
          <w:highlight w:val="none"/>
          <w:lang w:eastAsia="zh-CN"/>
        </w:rPr>
        <w:t>包括人员</w:t>
      </w:r>
      <w:r>
        <w:rPr>
          <w:rFonts w:hint="eastAsia" w:ascii="仿宋_GB2312" w:hAnsi="仿宋_GB2312" w:eastAsia="仿宋_GB2312" w:cs="仿宋_GB2312"/>
          <w:color w:val="000000"/>
          <w:sz w:val="32"/>
          <w:szCs w:val="32"/>
          <w:highlight w:val="none"/>
        </w:rPr>
        <w:t>支出</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${page991221988.ds669801938_ComputeCol20230210141630}</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1396.71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${page991221988.ds669801938_ComputeCol20230206164142}</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57.3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r>
        <w:rPr>
          <w:rFonts w:hint="eastAsia" w:ascii="仿宋_GB2312" w:hAnsi="仿宋_GB2312" w:eastAsia="仿宋_GB2312" w:cs="仿宋_GB2312"/>
          <w:color w:val="000000"/>
          <w:sz w:val="32"/>
          <w:szCs w:val="32"/>
          <w:highlight w:val="none"/>
          <w:lang w:eastAsia="zh-CN"/>
        </w:rPr>
        <w:t>日常公用支出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${page991221988.ds669801938_ComputeCol20230210141705}</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193.74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${page991221988.ds669801938_ComputeCol20230206164304}</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8.0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项目支出</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${page991221988.ds669801938_ComputeCol20230206163359}</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846.11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${page991221988.ds669801938_ComputeCol20230206164355}</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34.7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b w:val="0"/>
          <w:bCs/>
          <w:color w:val="000000"/>
          <w:sz w:val="32"/>
          <w:szCs w:val="32"/>
          <w:highlight w:val="none"/>
          <w:lang w:eastAsia="zh-CN"/>
        </w:rPr>
        <w:t>四</w:t>
      </w:r>
      <w:r>
        <w:rPr>
          <w:rFonts w:hint="eastAsia" w:ascii="仿宋_GB2312" w:hAnsi="仿宋_GB2312" w:eastAsia="仿宋_GB2312" w:cs="仿宋_GB2312"/>
          <w:b w:val="0"/>
          <w:bCs/>
          <w:color w:val="000000"/>
          <w:sz w:val="32"/>
          <w:szCs w:val="32"/>
          <w:highlight w:val="none"/>
        </w:rPr>
        <w:t>）</w:t>
      </w:r>
      <w:r>
        <w:rPr>
          <w:rFonts w:hint="eastAsia" w:ascii="仿宋_GB2312" w:hAnsi="仿宋_GB2312" w:eastAsia="仿宋_GB2312" w:cs="仿宋_GB2312"/>
          <w:b w:val="0"/>
          <w:bCs/>
          <w:color w:val="000000"/>
          <w:sz w:val="32"/>
          <w:szCs w:val="32"/>
          <w:highlight w:val="none"/>
          <w:lang w:eastAsia="zh-CN"/>
        </w:rPr>
        <w:t>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年财政拨款</w:t>
      </w:r>
      <w:r>
        <w:rPr>
          <w:rFonts w:hint="eastAsia" w:ascii="仿宋_GB2312" w:hAnsi="仿宋_GB2312" w:eastAsia="仿宋_GB2312" w:cs="仿宋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2023年财政拨款收支总预算</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${page296906908.ds669801938_ComputeCol20220210154818}</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2387.56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万元。收入包括：一般公共预算</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${page296906908.ds669801938_V_RPT_BGT_T_HC1100002019_YISHANG_AMTYBGGYSZJ}</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2387.56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万元；支出包括：</w:t>
      </w:r>
      <w:r>
        <w:rPr>
          <w:rFonts w:hint="eastAsia" w:ascii="仿宋_GB2312" w:hAnsi="仿宋_GB2312" w:eastAsia="仿宋_GB2312" w:cs="仿宋_GB2312"/>
          <w:color w:val="000000"/>
          <w:sz w:val="32"/>
          <w:szCs w:val="32"/>
          <w:highlight w:val="none"/>
          <w:lang w:eastAsia="zh-CN"/>
        </w:rPr>
        <w:t>教育支出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${page296906908.ds669801938_ComputeCol20220210162932}</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2146.13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社会保障和就业支出128.76万元，卫生健康支出112.68万元。</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eastAsia="zh-CN"/>
        </w:rPr>
        <w:t>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w:t>
      </w:r>
      <w:r>
        <w:rPr>
          <w:rFonts w:hint="eastAsia" w:ascii="仿宋_GB2312" w:hAnsi="仿宋_GB2312" w:eastAsia="仿宋_GB2312" w:cs="仿宋_GB2312"/>
          <w:b w:val="0"/>
          <w:bCs/>
          <w:color w:val="000000"/>
          <w:sz w:val="32"/>
          <w:szCs w:val="32"/>
          <w:highlight w:val="none"/>
          <w:lang w:eastAsia="zh-CN"/>
        </w:rPr>
        <w:t>一般公共预算拨款情况说明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丽水市教育教学研究院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lang w:val="en-US" w:eastAsia="zh-CN"/>
        </w:rPr>
        <w:t>2023年一般公共预算拨款</w:t>
      </w:r>
      <w:r>
        <w:rPr>
          <w:rFonts w:hint="eastAsia" w:ascii="仿宋_GB2312" w:hAnsi="仿宋_GB2312" w:eastAsia="仿宋_GB2312" w:cs="仿宋_GB2312"/>
          <w:b w:val="0"/>
          <w:bCs/>
          <w:color w:val="000000"/>
          <w:sz w:val="32"/>
          <w:szCs w:val="32"/>
          <w:highlight w:val="none"/>
        </w:rPr>
        <w:fldChar w:fldCharType="begin"/>
      </w:r>
      <w:r>
        <w:rPr>
          <w:rFonts w:hint="eastAsia" w:ascii="仿宋_GB2312" w:hAnsi="仿宋_GB2312" w:eastAsia="仿宋_GB2312" w:cs="仿宋_GB2312"/>
          <w:b w:val="0"/>
          <w:bCs/>
          <w:color w:val="000000"/>
          <w:sz w:val="32"/>
          <w:szCs w:val="32"/>
          <w:highlight w:val="none"/>
        </w:rPr>
        <w:instrText xml:space="preserve">MERGEFIELD ${page296906908.ds669801938_V_RPT_BGT_T_HC1100002019_YISHANG_AMTYBGGYSZJ}</w:instrText>
      </w:r>
      <w:r>
        <w:rPr>
          <w:rFonts w:hint="eastAsia" w:ascii="仿宋_GB2312" w:hAnsi="仿宋_GB2312" w:eastAsia="仿宋_GB2312" w:cs="仿宋_GB2312"/>
          <w:b w:val="0"/>
          <w:bCs/>
          <w:color w:val="000000"/>
          <w:sz w:val="32"/>
          <w:szCs w:val="32"/>
          <w:highlight w:val="none"/>
        </w:rPr>
        <w:fldChar w:fldCharType="separate"/>
      </w:r>
      <w:r>
        <w:rPr>
          <w:rFonts w:hint="eastAsia" w:ascii="仿宋_GB2312" w:hAnsi="仿宋_GB2312" w:eastAsia="仿宋_GB2312" w:cs="仿宋_GB2312"/>
          <w:b w:val="0"/>
          <w:bCs/>
          <w:color w:val="000000"/>
          <w:sz w:val="32"/>
          <w:szCs w:val="32"/>
          <w:highlight w:val="none"/>
        </w:rPr>
        <w:t>2387.56</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lang w:val="en-US" w:eastAsia="zh-CN"/>
        </w:rPr>
        <w:t>万元，比上年执行数增加24.56万元，</w:t>
      </w:r>
      <w:r>
        <w:rPr>
          <w:rFonts w:hint="eastAsia" w:ascii="仿宋_GB2312" w:hAnsi="仿宋_GB2312" w:eastAsia="仿宋_GB2312" w:cs="仿宋_GB2312"/>
          <w:color w:val="000000"/>
          <w:sz w:val="32"/>
          <w:szCs w:val="32"/>
          <w:highlight w:val="none"/>
        </w:rPr>
        <w:t>增长</w:t>
      </w:r>
      <w:r>
        <w:rPr>
          <w:rFonts w:hint="eastAsia" w:ascii="仿宋_GB2312" w:hAnsi="仿宋_GB2312" w:eastAsia="仿宋_GB2312" w:cs="仿宋_GB2312"/>
          <w:color w:val="000000"/>
          <w:sz w:val="32"/>
          <w:szCs w:val="32"/>
          <w:highlight w:val="none"/>
          <w:lang w:val="en-US" w:eastAsia="zh-CN"/>
        </w:rPr>
        <w:t>1.03</w:t>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主要是“教师培训”项目经费的增加。</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${page296906908.ds669801938_ExpandCol7693827285}</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2146.13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${page296906908.ds669801938_ComputeCol20220211093619}</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89.9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；社会保障和就业（类）支出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${page296906908.ds669801938_ExpandCol1262074998}</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128.76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${page296906908.ds669801938_ComputeCol20220211095109}</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5.4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${page296906908.ds669801938_ExpandCol16601952610}</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112.68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${page296906908.ds669801938_ComputeCol20220211095459}</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3.一般公共预算拨款具体使用情况。</w:t>
      </w:r>
    </w:p>
    <w:p>
      <w:pPr>
        <w:pStyle w:val="6"/>
        <w:keepNext w:val="0"/>
        <w:keepLines w:val="0"/>
        <w:widowControl/>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sz w:val="32"/>
          <w:szCs w:val="32"/>
        </w:rPr>
        <w:t>教育支出（类）</w:t>
      </w:r>
      <w:r>
        <w:rPr>
          <w:rFonts w:hint="eastAsia" w:ascii="仿宋_GB2312" w:hAnsi="仿宋_GB2312" w:eastAsia="仿宋_GB2312" w:cs="仿宋_GB2312"/>
          <w:sz w:val="32"/>
          <w:szCs w:val="32"/>
          <w:lang w:val="en-US" w:eastAsia="zh-CN"/>
        </w:rPr>
        <w:t>普通教育（款）其他普通教育支出（项）1.61万元，</w:t>
      </w:r>
      <w:r>
        <w:rPr>
          <w:rFonts w:hint="eastAsia" w:ascii="仿宋_GB2312" w:hAnsi="仿宋_GB2312" w:eastAsia="仿宋_GB2312" w:cs="仿宋_GB2312"/>
          <w:sz w:val="32"/>
          <w:szCs w:val="32"/>
        </w:rPr>
        <w:t>主要用于</w:t>
      </w:r>
      <w:r>
        <w:rPr>
          <w:rFonts w:hint="eastAsia" w:ascii="仿宋_GB2312" w:hAnsi="仿宋_GB2312" w:eastAsia="仿宋_GB2312" w:cs="仿宋_GB2312"/>
          <w:sz w:val="32"/>
          <w:szCs w:val="32"/>
          <w:lang w:val="en-US" w:eastAsia="zh-CN"/>
        </w:rPr>
        <w:t>心理健康教育师资培训。</w:t>
      </w:r>
    </w:p>
    <w:p>
      <w:pPr>
        <w:pStyle w:val="6"/>
        <w:keepNext w:val="0"/>
        <w:keepLines w:val="0"/>
        <w:widowControl/>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2</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sz w:val="32"/>
          <w:szCs w:val="32"/>
        </w:rPr>
        <w:t>教育支出（类）</w:t>
      </w:r>
      <w:r>
        <w:rPr>
          <w:rFonts w:hint="eastAsia" w:ascii="仿宋_GB2312" w:hAnsi="仿宋_GB2312" w:eastAsia="仿宋_GB2312" w:cs="仿宋_GB2312"/>
          <w:sz w:val="32"/>
          <w:szCs w:val="32"/>
          <w:lang w:val="en-US" w:eastAsia="zh-CN"/>
        </w:rPr>
        <w:t>其他教育支出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其他教育支出</w:t>
      </w:r>
      <w:r>
        <w:rPr>
          <w:rFonts w:hint="eastAsia" w:ascii="仿宋_GB2312" w:hAnsi="仿宋_GB2312" w:eastAsia="仿宋_GB2312" w:cs="仿宋_GB2312"/>
          <w:sz w:val="32"/>
          <w:szCs w:val="32"/>
        </w:rPr>
        <w:t>（项）安排</w:t>
      </w:r>
      <w:r>
        <w:rPr>
          <w:rFonts w:hint="eastAsia" w:ascii="仿宋_GB2312" w:hAnsi="仿宋_GB2312" w:eastAsia="仿宋_GB2312" w:cs="仿宋_GB2312"/>
          <w:sz w:val="32"/>
          <w:szCs w:val="32"/>
          <w:lang w:val="en-US" w:eastAsia="zh-CN"/>
        </w:rPr>
        <w:t>2144.52</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在职人员</w:t>
      </w:r>
      <w:r>
        <w:rPr>
          <w:rFonts w:hint="eastAsia" w:ascii="仿宋_GB2312" w:hAnsi="仿宋_GB2312" w:eastAsia="仿宋_GB2312" w:cs="仿宋_GB2312"/>
          <w:sz w:val="32"/>
          <w:szCs w:val="32"/>
          <w:lang w:val="en-US" w:eastAsia="zh-CN"/>
        </w:rPr>
        <w:t>经费</w:t>
      </w:r>
      <w:r>
        <w:rPr>
          <w:rFonts w:hint="eastAsia" w:ascii="仿宋_GB2312" w:hAnsi="仿宋_GB2312" w:eastAsia="仿宋_GB2312" w:cs="仿宋_GB2312"/>
          <w:sz w:val="32"/>
          <w:szCs w:val="32"/>
        </w:rPr>
        <w:t>、日常公用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项目经费等</w:t>
      </w:r>
      <w:r>
        <w:rPr>
          <w:rFonts w:hint="eastAsia" w:ascii="仿宋_GB2312" w:hAnsi="仿宋_GB2312" w:eastAsia="仿宋_GB2312" w:cs="仿宋_GB2312"/>
          <w:sz w:val="32"/>
          <w:szCs w:val="32"/>
        </w:rPr>
        <w:t>支出。 </w:t>
      </w:r>
    </w:p>
    <w:p>
      <w:pPr>
        <w:keepNext w:val="0"/>
        <w:keepLines w:val="0"/>
        <w:pageBreakBefore w:val="0"/>
        <w:numPr>
          <w:ilvl w:val="0"/>
          <w:numId w:val="0"/>
        </w:numPr>
        <w:kinsoku/>
        <w:wordWrap/>
        <w:overflowPunct/>
        <w:topLinePunct w:val="0"/>
        <w:autoSpaceDE/>
        <w:autoSpaceDN/>
        <w:bidi w:val="0"/>
        <w:adjustRightInd/>
        <w:snapToGrid/>
        <w:spacing w:beforeLines="0" w:afterLines="0" w:line="360" w:lineRule="auto"/>
        <w:ind w:right="0" w:rightChars="0"/>
        <w:jc w:val="left"/>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lang w:eastAsia="zh-CN"/>
        </w:rPr>
        <w:t>　　</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sz w:val="32"/>
          <w:szCs w:val="32"/>
        </w:rPr>
        <w:t>社会保障和就业支出（类）行政事业单位养老支出（款）机关事业单位基本养老保险缴费支出（项）安排</w:t>
      </w:r>
      <w:r>
        <w:rPr>
          <w:rFonts w:hint="eastAsia" w:ascii="仿宋_GB2312" w:hAnsi="仿宋_GB2312" w:eastAsia="仿宋_GB2312" w:cs="仿宋_GB2312"/>
          <w:sz w:val="32"/>
          <w:szCs w:val="32"/>
          <w:lang w:val="en-US" w:eastAsia="zh-CN"/>
        </w:rPr>
        <w:t>78.03</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rPr>
        <w:t>在职人员养老保险缴费支出</w:t>
      </w:r>
      <w:r>
        <w:rPr>
          <w:rFonts w:hint="eastAsia" w:ascii="仿宋_GB2312" w:hAnsi="仿宋_GB2312" w:eastAsia="仿宋_GB2312" w:cs="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360" w:lineRule="auto"/>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sz w:val="32"/>
          <w:szCs w:val="32"/>
        </w:rPr>
        <w:t>社会保障和就业支出（类）行政事业单位养老支出（款）机关事业单位职业年金缴费支出（项）安排</w:t>
      </w:r>
      <w:r>
        <w:rPr>
          <w:rFonts w:hint="eastAsia" w:ascii="仿宋_GB2312" w:hAnsi="仿宋_GB2312" w:eastAsia="仿宋_GB2312" w:cs="仿宋_GB2312"/>
          <w:sz w:val="32"/>
          <w:szCs w:val="32"/>
          <w:lang w:val="en-US" w:eastAsia="zh-CN"/>
        </w:rPr>
        <w:t>39.02</w:t>
      </w:r>
      <w:r>
        <w:rPr>
          <w:rFonts w:hint="eastAsia" w:ascii="仿宋_GB2312" w:hAnsi="仿宋_GB2312" w:eastAsia="仿宋_GB2312" w:cs="仿宋_GB2312"/>
          <w:sz w:val="32"/>
          <w:szCs w:val="32"/>
        </w:rPr>
        <w:t>万元，主要用于在职人员职业年金缴费支出。</w:t>
      </w:r>
    </w:p>
    <w:p>
      <w:pPr>
        <w:pStyle w:val="6"/>
        <w:keepNext w:val="0"/>
        <w:keepLines w:val="0"/>
        <w:widowControl/>
        <w:numPr>
          <w:ilvl w:val="0"/>
          <w:numId w:val="0"/>
        </w:numPr>
        <w:suppressLineNumbers w:val="0"/>
        <w:spacing w:before="0" w:beforeAutospacing="0" w:after="0" w:afterAutospacing="0" w:line="450" w:lineRule="atLeast"/>
        <w:ind w:right="0" w:rightChars="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5</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b w:val="0"/>
          <w:bCs w:val="0"/>
          <w:sz w:val="32"/>
          <w:szCs w:val="32"/>
        </w:rPr>
        <w:t>社会保障和就业支出（类）其他社会保障和就</w:t>
      </w:r>
      <w:r>
        <w:rPr>
          <w:rFonts w:hint="eastAsia" w:ascii="仿宋_GB2312" w:hAnsi="仿宋_GB2312" w:eastAsia="仿宋_GB2312" w:cs="仿宋_GB2312"/>
          <w:b w:val="0"/>
          <w:bCs w:val="0"/>
          <w:sz w:val="32"/>
          <w:szCs w:val="32"/>
          <w:lang w:val="en-US" w:eastAsia="zh-CN"/>
        </w:rPr>
        <w:t>业</w:t>
      </w:r>
      <w:r>
        <w:rPr>
          <w:rFonts w:hint="eastAsia" w:ascii="仿宋_GB2312" w:hAnsi="仿宋_GB2312" w:eastAsia="仿宋_GB2312" w:cs="仿宋_GB2312"/>
          <w:b w:val="0"/>
          <w:bCs w:val="0"/>
          <w:sz w:val="32"/>
          <w:szCs w:val="32"/>
        </w:rPr>
        <w:t>支出（款）其他社会保障和就业支出（项）安排</w:t>
      </w:r>
      <w:r>
        <w:rPr>
          <w:rFonts w:hint="eastAsia" w:ascii="仿宋_GB2312" w:hAnsi="仿宋_GB2312" w:eastAsia="仿宋_GB2312" w:cs="仿宋_GB2312"/>
          <w:b w:val="0"/>
          <w:bCs w:val="0"/>
          <w:sz w:val="32"/>
          <w:szCs w:val="32"/>
          <w:lang w:val="en-US" w:eastAsia="zh-CN"/>
        </w:rPr>
        <w:t>11.71</w:t>
      </w:r>
      <w:r>
        <w:rPr>
          <w:rFonts w:hint="eastAsia" w:ascii="仿宋_GB2312" w:hAnsi="仿宋_GB2312" w:eastAsia="仿宋_GB2312" w:cs="仿宋_GB2312"/>
          <w:b w:val="0"/>
          <w:bCs w:val="0"/>
          <w:sz w:val="32"/>
          <w:szCs w:val="32"/>
        </w:rPr>
        <w:t>万元，主要用于单位残疾人保障金、工伤</w:t>
      </w:r>
      <w:r>
        <w:rPr>
          <w:rFonts w:hint="eastAsia" w:ascii="仿宋_GB2312" w:hAnsi="仿宋_GB2312" w:eastAsia="仿宋_GB2312" w:cs="仿宋_GB2312"/>
          <w:b w:val="0"/>
          <w:bCs w:val="0"/>
          <w:sz w:val="32"/>
          <w:szCs w:val="32"/>
          <w:lang w:val="en-US" w:eastAsia="zh-CN"/>
        </w:rPr>
        <w:t>保险金、失业保险金、</w:t>
      </w:r>
      <w:r>
        <w:rPr>
          <w:rFonts w:hint="eastAsia" w:ascii="仿宋_GB2312" w:hAnsi="仿宋_GB2312" w:eastAsia="仿宋_GB2312" w:cs="仿宋_GB2312"/>
          <w:b w:val="0"/>
          <w:bCs w:val="0"/>
          <w:sz w:val="32"/>
          <w:szCs w:val="32"/>
        </w:rPr>
        <w:t>生育保险</w:t>
      </w:r>
      <w:r>
        <w:rPr>
          <w:rFonts w:hint="eastAsia" w:ascii="仿宋_GB2312" w:hAnsi="仿宋_GB2312" w:eastAsia="仿宋_GB2312" w:cs="仿宋_GB2312"/>
          <w:b w:val="0"/>
          <w:bCs w:val="0"/>
          <w:sz w:val="32"/>
          <w:szCs w:val="32"/>
          <w:lang w:val="en-US" w:eastAsia="zh-CN"/>
        </w:rPr>
        <w:t>金</w:t>
      </w:r>
      <w:r>
        <w:rPr>
          <w:rFonts w:hint="eastAsia" w:ascii="仿宋_GB2312" w:hAnsi="仿宋_GB2312" w:eastAsia="仿宋_GB2312" w:cs="仿宋_GB2312"/>
          <w:b w:val="0"/>
          <w:bCs w:val="0"/>
          <w:sz w:val="32"/>
          <w:szCs w:val="32"/>
        </w:rPr>
        <w:t>的支出。</w:t>
      </w:r>
    </w:p>
    <w:p>
      <w:pPr>
        <w:pStyle w:val="6"/>
        <w:keepNext w:val="0"/>
        <w:keepLines w:val="0"/>
        <w:widowControl/>
        <w:numPr>
          <w:ilvl w:val="0"/>
          <w:numId w:val="0"/>
        </w:numPr>
        <w:suppressLineNumbers w:val="0"/>
        <w:spacing w:before="0" w:beforeAutospacing="0" w:after="0" w:afterAutospacing="0" w:line="450" w:lineRule="atLeast"/>
        <w:ind w:right="0" w:rightChars="0" w:firstLine="640" w:firstLineChars="200"/>
        <w:jc w:val="both"/>
        <w:rPr>
          <w:rFonts w:hint="eastAsia" w:ascii="仿宋_GB2312" w:hAnsi="仿宋_GB2312" w:eastAsia="仿宋_GB2312" w:cs="仿宋_GB2312"/>
          <w:b w:val="0"/>
          <w:bCs w:val="0"/>
          <w:sz w:val="32"/>
          <w:szCs w:val="32"/>
          <w:lang w:val="en-US"/>
        </w:rPr>
      </w:pP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6</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lang w:val="en-US" w:eastAsia="zh-CN"/>
        </w:rPr>
        <w:t>卫生健康支出(类)行政事业单位医疗(款)事业单位医疗(项)安排112.68万元主要用于单位在职人员和退休人员医疗保险支出。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val="en-US" w:eastAsia="zh-CN"/>
        </w:rPr>
        <w:t xml:space="preserve">    （六）</w:t>
      </w:r>
      <w:r>
        <w:rPr>
          <w:rFonts w:hint="eastAsia" w:ascii="仿宋_GB2312" w:hAnsi="仿宋_GB2312" w:eastAsia="仿宋_GB2312" w:cs="仿宋_GB2312"/>
          <w:b w:val="0"/>
          <w:bCs/>
          <w:color w:val="000000"/>
          <w:sz w:val="32"/>
          <w:szCs w:val="32"/>
          <w:highlight w:val="none"/>
          <w:lang w:eastAsia="zh-CN"/>
        </w:rPr>
        <w:t>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w:t>
      </w:r>
      <w:r>
        <w:rPr>
          <w:rFonts w:hint="eastAsia" w:ascii="仿宋_GB2312" w:hAnsi="仿宋_GB2312" w:eastAsia="仿宋_GB2312" w:cs="仿宋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w:t>
      </w:r>
      <w:r>
        <w:rPr>
          <w:rFonts w:hint="eastAsia" w:ascii="仿宋_GB2312" w:hAnsi="仿宋_GB2312" w:eastAsia="仿宋_GB2312" w:cs="仿宋_GB2312"/>
          <w:color w:val="000000"/>
          <w:sz w:val="32"/>
          <w:szCs w:val="32"/>
          <w:highlight w:val="none"/>
          <w:lang w:eastAsia="zh-CN"/>
        </w:rPr>
        <w:t>一般公共预算基本支出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${page296906908.ds669801938_ComputeCol20220217095658}</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1590.45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hAnsi="仿宋_GB2312" w:eastAsia="仿宋_GB2312" w:cs="仿宋_GB2312"/>
          <w:b w:val="0"/>
          <w:color w:val="000000"/>
          <w:sz w:val="32"/>
          <w:szCs w:val="32"/>
          <w:highlight w:val="none"/>
          <w:lang w:val="en-US" w:eastAsia="zh-CN"/>
        </w:rPr>
      </w:pPr>
      <w:r>
        <w:rPr>
          <w:rFonts w:hint="eastAsia" w:ascii="仿宋_GB2312" w:hAnsi="仿宋_GB2312" w:eastAsia="仿宋_GB2312" w:cs="仿宋_GB2312"/>
          <w:b w:val="0"/>
          <w:color w:val="000000"/>
          <w:sz w:val="32"/>
          <w:szCs w:val="32"/>
          <w:highlight w:val="none"/>
          <w:lang w:val="en-US" w:eastAsia="zh-CN"/>
        </w:rPr>
        <w:t>人员经费</w:t>
      </w:r>
      <w:r>
        <w:rPr>
          <w:rFonts w:hint="eastAsia" w:ascii="仿宋_GB2312" w:hAnsi="仿宋_GB2312" w:eastAsia="仿宋_GB2312" w:cs="仿宋_GB2312"/>
          <w:b w:val="0"/>
          <w:color w:val="000000"/>
          <w:sz w:val="32"/>
          <w:szCs w:val="32"/>
          <w:highlight w:val="none"/>
          <w:lang w:val="en-US" w:eastAsia="zh-CN"/>
        </w:rPr>
        <w:fldChar w:fldCharType="begin"/>
      </w:r>
      <w:r>
        <w:rPr>
          <w:rFonts w:hint="eastAsia" w:ascii="仿宋_GB2312" w:hAnsi="仿宋_GB2312" w:eastAsia="仿宋_GB2312" w:cs="仿宋_GB2312"/>
          <w:b w:val="0"/>
          <w:color w:val="000000"/>
          <w:sz w:val="32"/>
          <w:szCs w:val="32"/>
          <w:highlight w:val="none"/>
          <w:lang w:val="en-US" w:eastAsia="zh-CN"/>
        </w:rPr>
        <w:instrText xml:space="preserve">MERGEFIELD ${page296906908.ds669801938_ExpandCol3479089931}</w:instrText>
      </w:r>
      <w:r>
        <w:rPr>
          <w:rFonts w:hint="eastAsia" w:ascii="仿宋_GB2312" w:hAnsi="仿宋_GB2312" w:eastAsia="仿宋_GB2312" w:cs="仿宋_GB2312"/>
          <w:b w:val="0"/>
          <w:color w:val="000000"/>
          <w:sz w:val="32"/>
          <w:szCs w:val="32"/>
          <w:highlight w:val="none"/>
          <w:lang w:val="en-US" w:eastAsia="zh-CN"/>
        </w:rPr>
        <w:fldChar w:fldCharType="separate"/>
      </w:r>
      <w:r>
        <w:rPr>
          <w:rFonts w:hint="eastAsia" w:ascii="仿宋_GB2312" w:hAnsi="仿宋_GB2312" w:eastAsia="仿宋_GB2312" w:cs="仿宋_GB2312"/>
          <w:b w:val="0"/>
          <w:color w:val="000000"/>
          <w:sz w:val="32"/>
          <w:szCs w:val="32"/>
          <w:highlight w:val="none"/>
          <w:lang w:val="en-US" w:eastAsia="zh-CN"/>
        </w:rPr>
        <w:t>1396.71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color w:val="000000"/>
          <w:sz w:val="32"/>
          <w:szCs w:val="32"/>
          <w:highlight w:val="none"/>
          <w:lang w:val="en-US" w:eastAsia="zh-CN"/>
        </w:rPr>
        <w:t>万元，主要包括：基本工资、津贴补贴、奖金、绩效工资、机关事业单位基本养老保险缴费、职业年金缴费、职工基本医疗保险缴费、公务员医疗补助缴费、其他社会保障缴费、住房公积金、其他工资福利支出、退休费、奖励金。</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hAnsi="仿宋_GB2312" w:eastAsia="仿宋_GB2312" w:cs="仿宋_GB2312"/>
          <w:b w:val="0"/>
          <w:color w:val="000000"/>
          <w:sz w:val="32"/>
          <w:szCs w:val="32"/>
          <w:highlight w:val="none"/>
          <w:lang w:val="en-US" w:eastAsia="zh-CN"/>
        </w:rPr>
      </w:pPr>
      <w:r>
        <w:rPr>
          <w:rFonts w:hint="eastAsia" w:ascii="仿宋_GB2312" w:hAnsi="仿宋_GB2312" w:eastAsia="仿宋_GB2312" w:cs="仿宋_GB2312"/>
          <w:b w:val="0"/>
          <w:color w:val="000000"/>
          <w:sz w:val="32"/>
          <w:szCs w:val="32"/>
          <w:highlight w:val="none"/>
          <w:lang w:val="en-US" w:eastAsia="zh-CN"/>
        </w:rPr>
        <w:t>公用经费</w:t>
      </w:r>
      <w:r>
        <w:rPr>
          <w:rFonts w:hint="eastAsia" w:ascii="仿宋_GB2312" w:hAnsi="仿宋_GB2312" w:eastAsia="仿宋_GB2312" w:cs="仿宋_GB2312"/>
          <w:b w:val="0"/>
          <w:color w:val="000000"/>
          <w:sz w:val="32"/>
          <w:szCs w:val="32"/>
          <w:highlight w:val="none"/>
          <w:lang w:val="en-US" w:eastAsia="zh-CN"/>
        </w:rPr>
        <w:fldChar w:fldCharType="begin"/>
      </w:r>
      <w:r>
        <w:rPr>
          <w:rFonts w:hint="eastAsia" w:ascii="仿宋_GB2312" w:hAnsi="仿宋_GB2312" w:eastAsia="仿宋_GB2312" w:cs="仿宋_GB2312"/>
          <w:b w:val="0"/>
          <w:color w:val="000000"/>
          <w:sz w:val="32"/>
          <w:szCs w:val="32"/>
          <w:highlight w:val="none"/>
          <w:lang w:val="en-US" w:eastAsia="zh-CN"/>
        </w:rPr>
        <w:instrText xml:space="preserve">MERGEFIELD ${page296906908.ds669801938_ExpandCol3055937732}</w:instrText>
      </w:r>
      <w:r>
        <w:rPr>
          <w:rFonts w:hint="eastAsia" w:ascii="仿宋_GB2312" w:hAnsi="仿宋_GB2312" w:eastAsia="仿宋_GB2312" w:cs="仿宋_GB2312"/>
          <w:b w:val="0"/>
          <w:color w:val="000000"/>
          <w:sz w:val="32"/>
          <w:szCs w:val="32"/>
          <w:highlight w:val="none"/>
          <w:lang w:val="en-US" w:eastAsia="zh-CN"/>
        </w:rPr>
        <w:fldChar w:fldCharType="separate"/>
      </w:r>
      <w:r>
        <w:rPr>
          <w:rFonts w:hint="eastAsia" w:ascii="仿宋_GB2312" w:hAnsi="仿宋_GB2312" w:eastAsia="仿宋_GB2312" w:cs="仿宋_GB2312"/>
          <w:b w:val="0"/>
          <w:color w:val="000000"/>
          <w:sz w:val="32"/>
          <w:szCs w:val="32"/>
          <w:highlight w:val="none"/>
          <w:lang w:val="en-US" w:eastAsia="zh-CN"/>
        </w:rPr>
        <w:t>193.74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color w:val="000000"/>
          <w:sz w:val="32"/>
          <w:szCs w:val="32"/>
          <w:highlight w:val="none"/>
          <w:lang w:val="en-US" w:eastAsia="zh-CN"/>
        </w:rPr>
        <w:t>万元，主要包括：办公费、、手续费、水费、电费、邮电费、物业管理费、差旅费、维修（护）费、租赁费、会议费、培训费、公务接待费、劳务费、工会经费、福利费、公务用车运行维护费、其他交通费用、其他商品和服务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eastAsia="zh-CN"/>
        </w:rPr>
        <w:t>（七）关于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w:t>
      </w:r>
      <w:r>
        <w:rPr>
          <w:rFonts w:hint="eastAsia" w:ascii="仿宋_GB2312" w:hAnsi="仿宋_GB2312" w:eastAsia="仿宋_GB2312" w:cs="仿宋_GB2312"/>
          <w:b w:val="0"/>
          <w:bCs/>
          <w:color w:val="000000"/>
          <w:sz w:val="32"/>
          <w:szCs w:val="32"/>
          <w:highlight w:val="none"/>
          <w:lang w:eastAsia="zh-CN"/>
        </w:rPr>
        <w:t>政府性基金预算支出情况说明</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40" w:firstLineChars="200"/>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2023年没有使用政府性基金预算拨款安排的支出。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eastAsia="zh-CN"/>
        </w:rPr>
        <w:t>（八）国有资本经营预算</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丽水市教育教学研究院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color w:val="000000"/>
          <w:sz w:val="32"/>
          <w:szCs w:val="32"/>
          <w:highlight w:val="none"/>
          <w:lang w:val="en-US" w:eastAsia="zh-CN"/>
        </w:rPr>
        <w:t>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仿宋_GB2312" w:hAnsi="仿宋_GB2312" w:eastAsia="仿宋_GB2312" w:cs="仿宋_GB2312"/>
          <w:b w:val="0"/>
          <w:bCs/>
          <w:color w:val="000000"/>
          <w:sz w:val="32"/>
          <w:szCs w:val="32"/>
          <w:highlight w:val="none"/>
        </w:rPr>
      </w:pPr>
      <w:r>
        <w:rPr>
          <w:rFonts w:hint="eastAsia" w:ascii="仿宋_GB2312" w:hAnsi="仿宋_GB2312" w:eastAsia="仿宋_GB2312" w:cs="仿宋_GB2312"/>
          <w:b w:val="0"/>
          <w:bCs/>
          <w:color w:val="000000"/>
          <w:sz w:val="32"/>
          <w:szCs w:val="32"/>
          <w:highlight w:val="none"/>
          <w:lang w:eastAsia="zh-CN"/>
        </w:rPr>
        <w:t>（九）关于</w:t>
      </w:r>
      <w:r>
        <w:rPr>
          <w:rFonts w:hint="eastAsia" w:ascii="仿宋_GB2312" w:hAnsi="仿宋_GB2312" w:eastAsia="仿宋_GB2312" w:cs="仿宋_GB2312"/>
          <w:b w:val="0"/>
          <w:bCs/>
          <w:color w:val="000000"/>
          <w:sz w:val="32"/>
          <w:szCs w:val="32"/>
          <w:highlight w:val="none"/>
          <w:lang w:eastAsia="zh-CN"/>
        </w:rPr>
        <w:fldChar w:fldCharType="begin"/>
      </w:r>
      <w:r>
        <w:rPr>
          <w:rFonts w:hint="eastAsia" w:ascii="仿宋_GB2312" w:hAnsi="仿宋_GB2312" w:eastAsia="仿宋_GB2312" w:cs="仿宋_GB2312"/>
          <w:b w:val="0"/>
          <w:bCs/>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b w:val="0"/>
          <w:bCs/>
          <w:color w:val="000000"/>
          <w:sz w:val="32"/>
          <w:szCs w:val="32"/>
          <w:highlight w:val="none"/>
          <w:lang w:eastAsia="zh-CN"/>
        </w:rPr>
        <w:fldChar w:fldCharType="separate"/>
      </w:r>
      <w:r>
        <w:rPr>
          <w:rFonts w:hint="eastAsia" w:ascii="仿宋_GB2312" w:hAnsi="仿宋_GB2312" w:eastAsia="仿宋_GB2312" w:cs="仿宋_GB2312"/>
          <w:b w:val="0"/>
          <w:bCs/>
          <w:color w:val="000000"/>
          <w:sz w:val="32"/>
          <w:szCs w:val="32"/>
          <w:highlight w:val="none"/>
          <w:lang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 w:val="0"/>
          <w:bCs/>
          <w:color w:val="000000"/>
          <w:sz w:val="32"/>
          <w:szCs w:val="32"/>
          <w:highlight w:val="none"/>
          <w:lang w:val="en-US" w:eastAsia="zh-CN"/>
        </w:rPr>
        <w:t>2023</w:t>
      </w:r>
      <w:r>
        <w:rPr>
          <w:rFonts w:hint="eastAsia" w:ascii="仿宋_GB2312" w:hAnsi="仿宋_GB2312" w:eastAsia="仿宋_GB2312" w:cs="仿宋_GB2312"/>
          <w:b w:val="0"/>
          <w:bCs/>
          <w:color w:val="000000"/>
          <w:sz w:val="32"/>
          <w:szCs w:val="32"/>
          <w:highlight w:val="none"/>
        </w:rPr>
        <w:t>年</w:t>
      </w:r>
      <w:r>
        <w:rPr>
          <w:rFonts w:hint="eastAsia" w:ascii="仿宋_GB2312" w:hAnsi="仿宋_GB2312" w:eastAsia="仿宋_GB2312" w:cs="仿宋_GB2312"/>
          <w:b w:val="0"/>
          <w:bCs/>
          <w:sz w:val="32"/>
          <w:szCs w:val="32"/>
          <w:highlight w:val="none"/>
          <w:lang w:eastAsia="zh-CN"/>
        </w:rPr>
        <w:t>一般公共预算</w:t>
      </w:r>
      <w:r>
        <w:rPr>
          <w:rFonts w:hint="eastAsia" w:ascii="仿宋_GB2312" w:hAnsi="仿宋_GB2312" w:eastAsia="仿宋_GB2312" w:cs="仿宋_GB2312"/>
          <w:b w:val="0"/>
          <w:bCs/>
          <w:color w:val="000000"/>
          <w:sz w:val="32"/>
          <w:szCs w:val="32"/>
          <w:highlight w:val="none"/>
        </w:rPr>
        <w:t>“三公”经费预算情况</w:t>
      </w:r>
      <w:r>
        <w:rPr>
          <w:rFonts w:hint="eastAsia" w:ascii="仿宋_GB2312" w:hAnsi="仿宋_GB2312" w:eastAsia="仿宋_GB2312" w:cs="仿宋_GB2312"/>
          <w:b w:val="0"/>
          <w:bCs/>
          <w:color w:val="000000"/>
          <w:sz w:val="32"/>
          <w:szCs w:val="32"/>
          <w:highlight w:val="none"/>
          <w:lang w:eastAsia="zh-CN"/>
        </w:rPr>
        <w:t>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MERGEFIELD ${page855778723.ds388518707_V_RPT_BAS_AGENCY_INFO_NAME}</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rPr>
        <w:t>年“三公”经费预算数为</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${page777094869.ds444739888_ComputeCol20220214105038}</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3.75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shd w:val="clear" w:color="auto" w:fill="FFFFFF"/>
          <w:lang w:val="en-US" w:eastAsia="zh-CN" w:bidi="ar"/>
        </w:rPr>
        <w:t>比上年预算数减少15.82万元，下降80.83%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lang w:eastAsia="zh-CN"/>
        </w:rPr>
        <w:t>具体如下：</w:t>
      </w:r>
    </w:p>
    <w:p>
      <w:pPr>
        <w:keepNext w:val="0"/>
        <w:keepLines w:val="0"/>
        <w:pageBreakBefore w:val="0"/>
        <w:kinsoku/>
        <w:wordWrap/>
        <w:overflowPunct/>
        <w:topLinePunct w:val="0"/>
        <w:bidi w:val="0"/>
        <w:spacing w:beforeLines="0" w:afterLines="0" w:line="360" w:lineRule="auto"/>
        <w:ind w:firstLine="640" w:firstLineChars="200"/>
        <w:textAlignment w:val="auto"/>
        <w:rPr>
          <w:rFonts w:hint="eastAsia" w:ascii="仿宋_GB2312" w:hAnsi="仿宋_GB2312" w:eastAsia="仿宋_GB2312" w:cs="仿宋_GB2312"/>
          <w:color w:val="0070C0"/>
          <w:kern w:val="0"/>
          <w:sz w:val="32"/>
          <w:szCs w:val="32"/>
          <w:highlight w:val="none"/>
        </w:rPr>
      </w:pPr>
      <w:r>
        <w:rPr>
          <w:rFonts w:hint="eastAsia" w:ascii="仿宋_GB2312" w:hAnsi="仿宋_GB2312" w:eastAsia="仿宋_GB2312" w:cs="仿宋_GB2312"/>
          <w:color w:val="auto"/>
          <w:kern w:val="0"/>
          <w:sz w:val="32"/>
          <w:szCs w:val="32"/>
          <w:highlight w:val="none"/>
        </w:rPr>
        <w:t>1.因公出国（境）</w:t>
      </w:r>
      <w:r>
        <w:rPr>
          <w:rFonts w:hint="eastAsia" w:ascii="仿宋_GB2312" w:hAnsi="仿宋_GB2312" w:eastAsia="仿宋_GB2312" w:cs="仿宋_GB2312"/>
          <w:color w:val="auto"/>
          <w:kern w:val="0"/>
          <w:sz w:val="32"/>
          <w:szCs w:val="32"/>
          <w:highlight w:val="none"/>
          <w:lang w:eastAsia="zh-CN"/>
        </w:rPr>
        <w:t>费用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sz w:val="32"/>
          <w:szCs w:val="32"/>
          <w:highlight w:val="none"/>
        </w:rPr>
        <w:t>根据</w:t>
      </w:r>
      <w:r>
        <w:rPr>
          <w:rFonts w:hint="eastAsia" w:ascii="仿宋_GB2312" w:hAnsi="仿宋_GB2312" w:eastAsia="仿宋_GB2312" w:cs="仿宋_GB2312"/>
          <w:sz w:val="32"/>
          <w:szCs w:val="32"/>
          <w:highlight w:val="none"/>
          <w:lang w:val="en-US" w:eastAsia="zh-CN"/>
        </w:rPr>
        <w:t>市</w:t>
      </w:r>
      <w:r>
        <w:rPr>
          <w:rFonts w:hint="eastAsia" w:ascii="仿宋_GB2312" w:hAnsi="仿宋_GB2312" w:eastAsia="仿宋_GB2312" w:cs="仿宋_GB2312"/>
          <w:sz w:val="32"/>
          <w:szCs w:val="32"/>
          <w:highlight w:val="none"/>
          <w:lang w:eastAsia="zh-CN"/>
        </w:rPr>
        <w:t>外办</w:t>
      </w:r>
      <w:r>
        <w:rPr>
          <w:rFonts w:hint="eastAsia" w:ascii="仿宋_GB2312" w:hAnsi="仿宋_GB2312" w:eastAsia="仿宋_GB2312" w:cs="仿宋_GB2312"/>
          <w:sz w:val="32"/>
          <w:szCs w:val="32"/>
          <w:highlight w:val="none"/>
        </w:rPr>
        <w:t>安排的因公出国计划和实际工作需要，</w:t>
      </w:r>
      <w:r>
        <w:rPr>
          <w:rFonts w:hint="eastAsia" w:ascii="仿宋_GB2312" w:hAnsi="仿宋_GB2312" w:eastAsia="仿宋_GB2312" w:cs="仿宋_GB2312"/>
          <w:sz w:val="32"/>
          <w:szCs w:val="32"/>
          <w:highlight w:val="none"/>
          <w:lang w:val="en-US" w:eastAsia="zh-CN"/>
        </w:rPr>
        <w:t>由市财政局统筹安排，2023</w:t>
      </w:r>
      <w:r>
        <w:rPr>
          <w:rFonts w:hint="eastAsia" w:ascii="仿宋_GB2312" w:hAnsi="仿宋_GB2312" w:eastAsia="仿宋_GB2312" w:cs="仿宋_GB2312"/>
          <w:sz w:val="32"/>
          <w:szCs w:val="32"/>
          <w:highlight w:val="none"/>
        </w:rPr>
        <w:t>年因公出国（境）费</w:t>
      </w:r>
      <w:r>
        <w:rPr>
          <w:rFonts w:hint="eastAsia" w:ascii="仿宋_GB2312" w:hAnsi="仿宋_GB2312" w:eastAsia="仿宋_GB2312" w:cs="仿宋_GB2312"/>
          <w:sz w:val="32"/>
          <w:szCs w:val="32"/>
          <w:highlight w:val="none"/>
          <w:lang w:eastAsia="zh-CN"/>
        </w:rPr>
        <w:t>用</w:t>
      </w:r>
      <w:r>
        <w:rPr>
          <w:rFonts w:hint="eastAsia" w:ascii="仿宋_GB2312" w:hAnsi="仿宋_GB2312" w:eastAsia="仿宋_GB2312" w:cs="仿宋_GB2312"/>
          <w:sz w:val="32"/>
          <w:szCs w:val="32"/>
          <w:highlight w:val="none"/>
          <w:lang w:val="en-US" w:eastAsia="zh-CN"/>
        </w:rPr>
        <w:t>未纳入单位年初</w:t>
      </w:r>
      <w:r>
        <w:rPr>
          <w:rFonts w:hint="eastAsia" w:ascii="仿宋_GB2312" w:hAnsi="仿宋_GB2312" w:eastAsia="仿宋_GB2312" w:cs="仿宋_GB2312"/>
          <w:sz w:val="32"/>
          <w:szCs w:val="32"/>
          <w:highlight w:val="none"/>
          <w:lang w:eastAsia="zh-CN"/>
        </w:rPr>
        <w:t>预算</w:t>
      </w:r>
      <w:r>
        <w:rPr>
          <w:rFonts w:hint="eastAsia" w:ascii="仿宋_GB2312" w:hAnsi="仿宋_GB2312" w:eastAsia="仿宋_GB2312" w:cs="仿宋_GB2312"/>
          <w:sz w:val="32"/>
          <w:szCs w:val="32"/>
          <w:highlight w:val="none"/>
          <w:lang w:val="en-US" w:eastAsia="zh-CN"/>
        </w:rPr>
        <w:t>。</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年安排公务接待费预算</w:t>
      </w:r>
      <w:r>
        <w:rPr>
          <w:rFonts w:hint="eastAsia" w:ascii="仿宋_GB2312" w:hAnsi="仿宋_GB2312" w:eastAsia="仿宋_GB2312" w:cs="仿宋_GB2312"/>
          <w:color w:val="000000"/>
          <w:sz w:val="32"/>
          <w:szCs w:val="32"/>
          <w:highlight w:val="none"/>
          <w:lang w:val="en-US" w:eastAsia="zh-CN"/>
        </w:rPr>
        <w:t>0.95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rPr>
        <w:t>上年</w:t>
      </w:r>
      <w:r>
        <w:rPr>
          <w:rFonts w:hint="eastAsia" w:ascii="仿宋_GB2312" w:hAnsi="仿宋_GB2312" w:eastAsia="仿宋_GB2312" w:cs="仿宋_GB2312"/>
          <w:sz w:val="32"/>
          <w:szCs w:val="32"/>
          <w:highlight w:val="none"/>
          <w:lang w:eastAsia="zh-CN"/>
        </w:rPr>
        <w:t>执行数</w:t>
      </w:r>
      <w:r>
        <w:rPr>
          <w:rFonts w:hint="eastAsia" w:ascii="仿宋_GB2312" w:hAnsi="仿宋_GB2312" w:eastAsia="仿宋_GB2312" w:cs="仿宋_GB2312"/>
          <w:sz w:val="32"/>
          <w:szCs w:val="32"/>
          <w:highlight w:val="none"/>
          <w:lang w:val="en-US" w:eastAsia="zh-CN"/>
        </w:rPr>
        <w:t>持平</w:t>
      </w:r>
      <w:r>
        <w:rPr>
          <w:rFonts w:hint="eastAsia" w:ascii="仿宋_GB2312" w:hAnsi="仿宋_GB2312" w:eastAsia="仿宋_GB2312" w:cs="仿宋_GB2312"/>
          <w:sz w:val="32"/>
          <w:szCs w:val="32"/>
          <w:highlight w:val="none"/>
        </w:rPr>
        <w:t>。</w:t>
      </w:r>
    </w:p>
    <w:p>
      <w:pPr>
        <w:pStyle w:val="15"/>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sz w:val="32"/>
          <w:szCs w:val="32"/>
          <w:highlight w:val="none"/>
        </w:rPr>
        <w:t>3.公务用车购置及运行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年安排公务用车购置及运行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费预算</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MERGEFIELD ${page777094869.ds444739888_ComputeCol20220214104917}</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2.80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highlight w:val="none"/>
        </w:rPr>
        <w:t>万元，比上年</w:t>
      </w:r>
      <w:r>
        <w:rPr>
          <w:rFonts w:hint="eastAsia" w:ascii="仿宋_GB2312" w:hAnsi="仿宋_GB2312" w:eastAsia="仿宋_GB2312" w:cs="仿宋_GB2312"/>
          <w:sz w:val="32"/>
          <w:szCs w:val="32"/>
          <w:highlight w:val="none"/>
          <w:lang w:val="en-US" w:eastAsia="zh-CN"/>
        </w:rPr>
        <w:t>预算</w:t>
      </w:r>
      <w:r>
        <w:rPr>
          <w:rFonts w:hint="eastAsia" w:ascii="仿宋_GB2312" w:hAnsi="仿宋_GB2312" w:eastAsia="仿宋_GB2312" w:cs="仿宋_GB2312"/>
          <w:sz w:val="32"/>
          <w:szCs w:val="32"/>
          <w:highlight w:val="none"/>
          <w:lang w:eastAsia="zh-CN"/>
        </w:rPr>
        <w:t>数</w:t>
      </w:r>
      <w:r>
        <w:rPr>
          <w:rFonts w:hint="eastAsia" w:ascii="仿宋_GB2312" w:hAnsi="仿宋_GB2312" w:eastAsia="仿宋_GB2312" w:cs="仿宋_GB2312"/>
          <w:sz w:val="32"/>
          <w:szCs w:val="32"/>
          <w:highlight w:val="none"/>
        </w:rPr>
        <w:t>下降</w:t>
      </w:r>
      <w:r>
        <w:rPr>
          <w:rFonts w:hint="eastAsia" w:ascii="仿宋_GB2312" w:hAnsi="仿宋_GB2312" w:eastAsia="仿宋_GB2312" w:cs="仿宋_GB2312"/>
          <w:sz w:val="32"/>
          <w:szCs w:val="32"/>
          <w:highlight w:val="none"/>
          <w:lang w:val="en-US" w:eastAsia="zh-CN"/>
        </w:rPr>
        <w:t>85.69</w:t>
      </w:r>
      <w:r>
        <w:rPr>
          <w:rFonts w:hint="eastAsia" w:ascii="仿宋_GB2312" w:hAnsi="仿宋_GB2312" w:eastAsia="仿宋_GB2312" w:cs="仿宋_GB2312"/>
          <w:sz w:val="32"/>
          <w:szCs w:val="32"/>
          <w:highlight w:val="none"/>
        </w:rPr>
        <w:t>%。其中，公务用车购置支出</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MERGEFIELD ${page777094869.ds444739888_ComputeCol20220214105200}</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0.00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万元（含购置税等附加费用）；公务用车运行</w:t>
      </w:r>
      <w:r>
        <w:rPr>
          <w:rFonts w:hint="eastAsia" w:ascii="仿宋_GB2312" w:hAnsi="仿宋_GB2312" w:eastAsia="仿宋_GB2312" w:cs="仿宋_GB2312"/>
          <w:sz w:val="32"/>
          <w:szCs w:val="32"/>
          <w:highlight w:val="none"/>
          <w:lang w:eastAsia="zh-CN"/>
        </w:rPr>
        <w:t>维护</w:t>
      </w:r>
      <w:r>
        <w:rPr>
          <w:rFonts w:hint="eastAsia" w:ascii="仿宋_GB2312" w:hAnsi="仿宋_GB2312" w:eastAsia="仿宋_GB2312" w:cs="仿宋_GB2312"/>
          <w:sz w:val="32"/>
          <w:szCs w:val="32"/>
          <w:highlight w:val="none"/>
        </w:rPr>
        <w:t>费支出</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MERGEFIELD ${page777094869.ds444739888_ExpandCol7471383553}</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2.80</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万元，主要用于公务用车燃料费、维修费、过桥过路费、保险费</w:t>
      </w:r>
      <w:r>
        <w:rPr>
          <w:rFonts w:hint="eastAsia" w:ascii="仿宋_GB2312" w:hAnsi="仿宋_GB2312" w:eastAsia="仿宋_GB2312" w:cs="仿宋_GB2312"/>
          <w:sz w:val="32"/>
          <w:szCs w:val="32"/>
          <w:highlight w:val="none"/>
          <w:lang w:eastAsia="zh-CN"/>
        </w:rPr>
        <w:t>、安全奖励费用等</w:t>
      </w:r>
      <w:r>
        <w:rPr>
          <w:rFonts w:hint="eastAsia" w:ascii="仿宋_GB2312" w:hAnsi="仿宋_GB2312" w:eastAsia="仿宋_GB2312" w:cs="仿宋_GB2312"/>
          <w:sz w:val="32"/>
          <w:szCs w:val="32"/>
          <w:highlight w:val="none"/>
        </w:rPr>
        <w:t>支出。</w:t>
      </w:r>
      <w:r>
        <w:rPr>
          <w:rFonts w:hint="eastAsia" w:ascii="仿宋_GB2312" w:hAnsi="仿宋_GB2312" w:eastAsia="仿宋_GB2312" w:cs="仿宋_GB2312"/>
          <w:sz w:val="32"/>
          <w:szCs w:val="32"/>
          <w:highlight w:val="none"/>
          <w:lang w:eastAsia="zh-CN"/>
        </w:rPr>
        <w:t>比上年</w:t>
      </w:r>
      <w:r>
        <w:rPr>
          <w:rFonts w:hint="eastAsia" w:ascii="仿宋_GB2312" w:hAnsi="仿宋_GB2312" w:eastAsia="仿宋_GB2312" w:cs="仿宋_GB2312"/>
          <w:sz w:val="32"/>
          <w:szCs w:val="32"/>
          <w:highlight w:val="none"/>
          <w:lang w:val="en-US" w:eastAsia="zh-CN"/>
        </w:rPr>
        <w:t>预算</w:t>
      </w:r>
      <w:r>
        <w:rPr>
          <w:rFonts w:hint="eastAsia" w:ascii="仿宋_GB2312" w:hAnsi="仿宋_GB2312" w:eastAsia="仿宋_GB2312" w:cs="仿宋_GB2312"/>
          <w:sz w:val="32"/>
          <w:szCs w:val="32"/>
          <w:highlight w:val="none"/>
          <w:lang w:eastAsia="zh-CN"/>
        </w:rPr>
        <w:t>数</w:t>
      </w:r>
      <w:r>
        <w:rPr>
          <w:rFonts w:hint="eastAsia" w:ascii="仿宋_GB2312" w:hAnsi="仿宋_GB2312" w:eastAsia="仿宋_GB2312" w:cs="仿宋_GB2312"/>
          <w:b w:val="0"/>
          <w:bCs w:val="0"/>
          <w:sz w:val="32"/>
          <w:szCs w:val="32"/>
          <w:highlight w:val="none"/>
          <w:lang w:eastAsia="zh-CN"/>
        </w:rPr>
        <w:t>减少</w:t>
      </w:r>
      <w:r>
        <w:rPr>
          <w:rFonts w:hint="eastAsia" w:ascii="仿宋_GB2312" w:hAnsi="仿宋_GB2312" w:eastAsia="仿宋_GB2312" w:cs="仿宋_GB2312"/>
          <w:b w:val="0"/>
          <w:bCs w:val="0"/>
          <w:sz w:val="32"/>
          <w:szCs w:val="32"/>
          <w:highlight w:val="none"/>
          <w:lang w:val="en-US" w:eastAsia="zh-CN"/>
        </w:rPr>
        <w:t>85.69%，</w:t>
      </w:r>
      <w:r>
        <w:rPr>
          <w:rFonts w:hint="eastAsia" w:ascii="仿宋_GB2312" w:hAnsi="仿宋_GB2312" w:eastAsia="仿宋_GB2312" w:cs="仿宋_GB2312"/>
          <w:b w:val="0"/>
          <w:bCs w:val="0"/>
          <w:sz w:val="32"/>
          <w:szCs w:val="32"/>
          <w:highlight w:val="none"/>
          <w:lang w:eastAsia="zh-CN"/>
        </w:rPr>
        <w:t>主要原因是</w:t>
      </w:r>
      <w:r>
        <w:rPr>
          <w:rFonts w:hint="eastAsia" w:ascii="仿宋_GB2312" w:hAnsi="仿宋_GB2312" w:eastAsia="仿宋_GB2312" w:cs="仿宋_GB2312"/>
          <w:b w:val="0"/>
          <w:bCs w:val="0"/>
          <w:sz w:val="32"/>
          <w:szCs w:val="32"/>
          <w:highlight w:val="none"/>
          <w:lang w:val="en-US" w:eastAsia="zh-CN"/>
        </w:rPr>
        <w:t>减少公务用车购置支出</w:t>
      </w:r>
      <w:r>
        <w:rPr>
          <w:rFonts w:hint="eastAsia" w:ascii="仿宋_GB2312" w:hAnsi="仿宋_GB2312" w:eastAsia="仿宋_GB2312" w:cs="仿宋_GB2312"/>
          <w:b w:val="0"/>
          <w:bCs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val="0"/>
          <w:bCs/>
          <w:sz w:val="32"/>
          <w:szCs w:val="32"/>
          <w:highlight w:val="none"/>
        </w:rPr>
        <w:t>（</w:t>
      </w:r>
      <w:r>
        <w:rPr>
          <w:rFonts w:hint="eastAsia" w:ascii="仿宋_GB2312" w:hAnsi="仿宋_GB2312" w:eastAsia="仿宋_GB2312" w:cs="仿宋_GB2312"/>
          <w:b w:val="0"/>
          <w:bCs/>
          <w:sz w:val="32"/>
          <w:szCs w:val="32"/>
          <w:highlight w:val="none"/>
          <w:lang w:eastAsia="zh-CN"/>
        </w:rPr>
        <w:t>十</w:t>
      </w:r>
      <w:r>
        <w:rPr>
          <w:rFonts w:hint="eastAsia" w:ascii="仿宋_GB2312" w:hAnsi="仿宋_GB2312" w:eastAsia="仿宋_GB2312" w:cs="仿宋_GB2312"/>
          <w:b w:val="0"/>
          <w:bCs/>
          <w:sz w:val="32"/>
          <w:szCs w:val="32"/>
          <w:highlight w:val="none"/>
        </w:rPr>
        <w:t>）其他重要事项的情况说明</w:t>
      </w:r>
    </w:p>
    <w:p>
      <w:pPr>
        <w:pStyle w:val="15"/>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hAnsi="仿宋_GB2312" w:eastAsia="仿宋_GB2312" w:cs="仿宋_GB2312"/>
          <w:b/>
          <w:bCs/>
          <w:sz w:val="32"/>
          <w:szCs w:val="32"/>
          <w:highlight w:val="none"/>
          <w:u w:val="none"/>
          <w:lang w:val="en-US" w:eastAsia="zh-CN"/>
        </w:rPr>
      </w:pPr>
      <w:r>
        <w:rPr>
          <w:rFonts w:hint="eastAsia" w:ascii="仿宋_GB2312" w:hAnsi="仿宋_GB2312" w:eastAsia="仿宋_GB2312" w:cs="仿宋_GB2312"/>
          <w:b/>
          <w:bCs/>
          <w:sz w:val="32"/>
          <w:szCs w:val="32"/>
          <w:highlight w:val="none"/>
          <w:u w:val="none"/>
          <w:lang w:val="en-US" w:eastAsia="zh-CN"/>
        </w:rPr>
        <w:t>1.政府采购情况。</w:t>
      </w:r>
    </w:p>
    <w:p>
      <w:pPr>
        <w:pStyle w:val="15"/>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sz w:val="32"/>
          <w:szCs w:val="32"/>
          <w:highlight w:val="none"/>
          <w:u w:val="none"/>
          <w:lang w:eastAsia="zh-CN"/>
        </w:rPr>
      </w:pPr>
      <w:r>
        <w:rPr>
          <w:rFonts w:hint="eastAsia" w:ascii="仿宋_GB2312" w:hAnsi="仿宋_GB2312" w:eastAsia="仿宋_GB2312" w:cs="仿宋_GB2312"/>
          <w:b w:val="0"/>
          <w:bCs w:val="0"/>
          <w:sz w:val="32"/>
          <w:szCs w:val="32"/>
          <w:highlight w:val="none"/>
          <w:u w:val="none"/>
          <w:lang w:val="en-US" w:eastAsia="zh-CN"/>
        </w:rPr>
        <w:t>2023年</w:t>
      </w:r>
      <w:r>
        <w:rPr>
          <w:rFonts w:hint="eastAsia" w:ascii="仿宋_GB2312" w:hAnsi="仿宋_GB2312" w:eastAsia="仿宋_GB2312" w:cs="仿宋_GB2312"/>
          <w:b w:val="0"/>
          <w:bCs w:val="0"/>
          <w:sz w:val="32"/>
          <w:szCs w:val="32"/>
          <w:highlight w:val="none"/>
          <w:u w:val="none"/>
          <w:lang w:val="en-US" w:eastAsia="zh-CN"/>
        </w:rPr>
        <w:fldChar w:fldCharType="begin"/>
      </w:r>
      <w:r>
        <w:rPr>
          <w:rFonts w:hint="eastAsia" w:ascii="仿宋_GB2312" w:hAnsi="仿宋_GB2312" w:eastAsia="仿宋_GB2312" w:cs="仿宋_GB2312"/>
          <w:b w:val="0"/>
          <w:bCs w:val="0"/>
          <w:sz w:val="32"/>
          <w:szCs w:val="32"/>
          <w:highlight w:val="none"/>
          <w:u w:val="none"/>
          <w:lang w:val="en-US" w:eastAsia="zh-CN"/>
        </w:rPr>
        <w:instrText xml:space="preserve">MERGEFIELD ${page855778723.ds388518707_V_RPT_BAS_AGENCY_INFO_NAME}</w:instrText>
      </w:r>
      <w:r>
        <w:rPr>
          <w:rFonts w:hint="eastAsia" w:ascii="仿宋_GB2312" w:hAnsi="仿宋_GB2312" w:eastAsia="仿宋_GB2312" w:cs="仿宋_GB2312"/>
          <w:b w:val="0"/>
          <w:bCs w:val="0"/>
          <w:sz w:val="32"/>
          <w:szCs w:val="32"/>
          <w:highlight w:val="none"/>
          <w:u w:val="none"/>
          <w:lang w:val="en-US" w:eastAsia="zh-CN"/>
        </w:rPr>
        <w:fldChar w:fldCharType="separate"/>
      </w:r>
      <w:r>
        <w:rPr>
          <w:rFonts w:hint="eastAsia" w:ascii="仿宋_GB2312" w:hAnsi="仿宋_GB2312" w:eastAsia="仿宋_GB2312" w:cs="仿宋_GB2312"/>
          <w:b w:val="0"/>
          <w:bCs w:val="0"/>
          <w:sz w:val="32"/>
          <w:szCs w:val="32"/>
          <w:highlight w:val="none"/>
          <w:u w:val="none"/>
          <w:lang w:val="en-US"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eastAsia="zh-CN"/>
        </w:rPr>
        <w:t>政府采购预算总额</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${page991489089.ds360843206_ComputeCol20230208104056}</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4.90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万元，其中：政府采购货物预算</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${page991489089.ds360843206_ExpandCol7582381261}</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0.50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万元、政府采购工程预算</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${page991489089.ds360843206_ExpandCol3415079511}</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0.00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万元、政府采购服务预算</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${page991489089.ds360843206_ComputeCol20230207170923}</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4.40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000000"/>
          <w:sz w:val="32"/>
          <w:szCs w:val="32"/>
          <w:highlight w:val="none"/>
          <w:lang w:val="en-US" w:eastAsia="zh-CN"/>
        </w:rPr>
        <w:t>万元。</w:t>
      </w:r>
    </w:p>
    <w:p>
      <w:pPr>
        <w:pStyle w:val="15"/>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b/>
          <w:bCs/>
          <w:sz w:val="32"/>
          <w:szCs w:val="32"/>
          <w:highlight w:val="none"/>
          <w:u w:val="none"/>
          <w:lang w:val="en-US" w:eastAsia="zh-CN"/>
        </w:rPr>
        <w:t>2.国有资产占有使用情况。</w:t>
      </w:r>
    </w:p>
    <w:p>
      <w:pPr>
        <w:keepNext w:val="0"/>
        <w:keepLines w:val="0"/>
        <w:pageBreakBefore w:val="0"/>
        <w:kinsoku/>
        <w:wordWrap/>
        <w:overflowPunct/>
        <w:topLinePunct w:val="0"/>
        <w:bidi w:val="0"/>
        <w:spacing w:beforeLines="0" w:afterLines="0" w:line="520" w:lineRule="exact"/>
        <w:ind w:firstLine="64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6"/>
          <w:sz w:val="32"/>
          <w:szCs w:val="32"/>
          <w:highlight w:val="none"/>
          <w:u w:val="none"/>
          <w:lang w:val="en-US" w:eastAsia="zh-CN"/>
        </w:rPr>
        <w:t>截至2022年12月31日，本</w:t>
      </w:r>
      <w:r>
        <w:rPr>
          <w:rFonts w:hint="eastAsia" w:ascii="仿宋_GB2312" w:hAnsi="仿宋_GB2312" w:eastAsia="仿宋_GB2312" w:cs="仿宋_GB2312"/>
          <w:color w:val="auto"/>
          <w:spacing w:val="6"/>
          <w:sz w:val="32"/>
          <w:szCs w:val="32"/>
          <w:highlight w:val="none"/>
          <w:lang w:eastAsia="zh-CN"/>
        </w:rPr>
        <w:t>单位共有车辆</w:t>
      </w:r>
      <w:r>
        <w:rPr>
          <w:rFonts w:hint="eastAsia" w:ascii="仿宋_GB2312" w:hAnsi="仿宋_GB2312" w:eastAsia="仿宋_GB2312" w:cs="仿宋_GB2312"/>
          <w:color w:val="auto"/>
          <w:sz w:val="32"/>
          <w:szCs w:val="32"/>
          <w:highlight w:val="none"/>
          <w:lang w:val="en-US" w:eastAsia="zh-CN"/>
        </w:rPr>
        <w:t>1辆，其中，领导用车0辆、机要通信用车及应急保障用车0辆、执法执勤用车0辆、特种专业技术用车0辆、老干部服务用车0辆、行政执法专用车0辆,其他用车1辆。单位价值50万元以上通用设备0台（套），单位价值100万元以上专用设备0台</w:t>
      </w:r>
      <w:bookmarkStart w:id="0" w:name="_GoBack"/>
      <w:bookmarkEnd w:id="0"/>
      <w:r>
        <w:rPr>
          <w:rFonts w:hint="eastAsia" w:ascii="仿宋_GB2312" w:hAnsi="仿宋_GB2312" w:eastAsia="仿宋_GB2312" w:cs="仿宋_GB2312"/>
          <w:color w:val="auto"/>
          <w:sz w:val="32"/>
          <w:szCs w:val="32"/>
          <w:highlight w:val="none"/>
          <w:lang w:val="en-US" w:eastAsia="zh-CN"/>
        </w:rPr>
        <w:t xml:space="preserve">（套）。 </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lang w:val="en-US" w:eastAsia="zh-CN"/>
        </w:rPr>
        <w:t>2023年部门预算未安排购置车辆、单位价值50万元以上通用设备及单位价值100万元以上专用设备经费。</w:t>
      </w:r>
    </w:p>
    <w:p>
      <w:pPr>
        <w:pStyle w:val="15"/>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hAnsi="仿宋_GB2312" w:eastAsia="仿宋_GB2312" w:cs="仿宋_GB2312"/>
          <w:b/>
          <w:bCs/>
          <w:sz w:val="32"/>
          <w:szCs w:val="32"/>
          <w:highlight w:val="none"/>
          <w:u w:val="none"/>
          <w:lang w:val="en-US" w:eastAsia="zh-CN"/>
        </w:rPr>
      </w:pPr>
      <w:r>
        <w:rPr>
          <w:rFonts w:hint="eastAsia" w:ascii="仿宋_GB2312" w:hAnsi="仿宋_GB2312" w:eastAsia="仿宋_GB2312" w:cs="仿宋_GB2312"/>
          <w:b/>
          <w:bCs/>
          <w:sz w:val="32"/>
          <w:szCs w:val="32"/>
          <w:highlight w:val="none"/>
          <w:u w:val="none"/>
          <w:lang w:val="en-US" w:eastAsia="zh-CN"/>
        </w:rPr>
        <w:t xml:space="preserve">    3.预算绩效情况说明。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丽水市教育教学研究院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highlight w:val="none"/>
          <w:lang w:val="en-US" w:eastAsia="zh-CN"/>
        </w:rPr>
        <w:t>其他运转类项目和特定目标类项目均实行绩效目标管理，涉及一般公共预算拨款</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MERGEFIELD ${page296906908.ds669801938_ComputeCol20220214111453}</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797.1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highlight w:val="none"/>
          <w:lang w:val="en-US" w:eastAsia="zh-CN"/>
        </w:rPr>
        <w:t>万元，一级项目1个，财政专户管理资金30万元，单位资金19万元。</w:t>
      </w:r>
    </w:p>
    <w:p>
      <w:pPr>
        <w:pStyle w:val="15"/>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政府性基金预算财政拨款和国有资本经营预算拨款。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3.其他收入：预算单位在“一般公共预算”“政府性基金预算”“国有资本经营预算”“专户资金”“事业收入”“事业单位经营收入”“上级补助收入”和“附属单位上缴收入”等之外取得的各项收入。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4.上年结转：指以前年度尚未完成、结转到本年仍按原规定用途继续使用的资金。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7.“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教育支出（类）</w:t>
      </w:r>
      <w:r>
        <w:rPr>
          <w:rFonts w:hint="eastAsia" w:ascii="仿宋_GB2312" w:hAnsi="仿宋_GB2312" w:eastAsia="仿宋_GB2312" w:cs="仿宋_GB2312"/>
          <w:sz w:val="32"/>
          <w:szCs w:val="32"/>
          <w:lang w:val="en-US" w:eastAsia="zh-CN"/>
        </w:rPr>
        <w:t>普通教育（款）其他普通教育支出（项）反映除一般普通教育支出以外其他用于普通教育方面的支出</w:t>
      </w:r>
    </w:p>
    <w:p>
      <w:pPr>
        <w:pStyle w:val="6"/>
        <w:keepNext w:val="0"/>
        <w:keepLines w:val="0"/>
        <w:widowControl/>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val="en-US"/>
        </w:rPr>
        <w:t xml:space="preserve">. </w:t>
      </w:r>
      <w:r>
        <w:rPr>
          <w:rFonts w:hint="eastAsia" w:ascii="仿宋_GB2312" w:hAnsi="仿宋_GB2312" w:eastAsia="仿宋_GB2312" w:cs="仿宋_GB2312"/>
          <w:sz w:val="32"/>
          <w:szCs w:val="32"/>
        </w:rPr>
        <w:t>教育</w:t>
      </w:r>
      <w:r>
        <w:rPr>
          <w:rFonts w:hint="eastAsia" w:ascii="仿宋_GB2312" w:hAnsi="仿宋_GB2312" w:eastAsia="仿宋_GB2312" w:cs="仿宋_GB2312"/>
          <w:sz w:val="32"/>
          <w:szCs w:val="32"/>
          <w:lang w:val="en-US" w:eastAsia="zh-CN"/>
        </w:rPr>
        <w:t>支出</w:t>
      </w:r>
      <w:r>
        <w:rPr>
          <w:rFonts w:hint="eastAsia" w:ascii="仿宋_GB2312" w:hAnsi="仿宋_GB2312" w:eastAsia="仿宋_GB2312" w:cs="仿宋_GB2312"/>
          <w:sz w:val="32"/>
          <w:szCs w:val="32"/>
        </w:rPr>
        <w:t>（类）其他教育支出（款）其他教育支出（项）：反映除一般教育项目以外其他用于教育方面的支出。 </w:t>
      </w:r>
    </w:p>
    <w:p>
      <w:pPr>
        <w:pStyle w:val="6"/>
        <w:keepNext w:val="0"/>
        <w:keepLines w:val="0"/>
        <w:widowControl/>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社会保障和就业支出（类）行政事业单位养老支出（款）机关事业单位基本养老保险缴费支出（项）：反映机关事业单位实施养老保险制度由单位缴纳的基本养老保险支出。 </w:t>
      </w:r>
    </w:p>
    <w:p>
      <w:pPr>
        <w:pStyle w:val="6"/>
        <w:keepNext w:val="0"/>
        <w:keepLines w:val="0"/>
        <w:widowControl/>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社会保障和就业支出（类）机关事业单位职业（款）机关事业单位职业年金缴费支出（项）：反映机关事业单位实施养老保险制度由单位实际缴纳的职业年金支出。 </w:t>
      </w:r>
    </w:p>
    <w:p>
      <w:pPr>
        <w:pStyle w:val="6"/>
        <w:keepNext w:val="0"/>
        <w:keepLines w:val="0"/>
        <w:widowControl/>
        <w:suppressLineNumbers w:val="0"/>
        <w:spacing w:before="0" w:beforeAutospacing="0" w:after="0" w:afterAutospacing="0" w:line="360" w:lineRule="auto"/>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社会保障和就业支出（类）其他社会保障和就业支出（款）其他社会保障和就业支出（项）：反映一般项目以外其他用于社会保障和就业方面的支出。</w:t>
      </w:r>
      <w:r>
        <w:rPr>
          <w:rFonts w:hint="eastAsia" w:ascii="仿宋_GB2312" w:hAnsi="仿宋_GB2312" w:eastAsia="仿宋_GB2312" w:cs="仿宋_GB2312"/>
          <w:sz w:val="32"/>
          <w:szCs w:val="32"/>
          <w:lang w:val="en-US"/>
        </w:rPr>
        <w:t xml:space="preserve">    </w:t>
      </w:r>
      <w:r>
        <w:rPr>
          <w:rFonts w:hint="eastAsia" w:ascii="仿宋_GB2312" w:hAnsi="仿宋_GB2312" w:eastAsia="仿宋_GB2312" w:cs="仿宋_GB2312"/>
          <w:sz w:val="32"/>
          <w:szCs w:val="32"/>
        </w:rPr>
        <w:t> </w:t>
      </w:r>
    </w:p>
    <w:p>
      <w:pPr>
        <w:spacing w:line="520"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lang w:val="en-US"/>
        </w:rPr>
        <w:t>.</w:t>
      </w:r>
      <w:r>
        <w:rPr>
          <w:rFonts w:hint="eastAsia" w:ascii="仿宋_GB2312" w:hAnsi="仿宋_GB2312" w:eastAsia="仿宋_GB2312" w:cs="仿宋_GB2312"/>
          <w:sz w:val="32"/>
          <w:szCs w:val="32"/>
        </w:rPr>
        <w:t>卫生健康支出（类）行政事业单位医疗（款）事业单位医疗（项）：反映财政部门安排的事业单位基本医疗保险缴费经费，未参加医疗保险的行政单位的公费医疗经费，按国家规定享受离休人员待遇人员的医疗经费。</w:t>
      </w:r>
    </w:p>
    <w:p>
      <w:pPr>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Y4OWZiMWI5ODZiMjM2MjU4NWNiMThkZGI5MDliYzcifQ=="/>
  </w:docVars>
  <w:rsids>
    <w:rsidRoot w:val="0018453C"/>
    <w:rsid w:val="00037FBA"/>
    <w:rsid w:val="00084C3B"/>
    <w:rsid w:val="000F6704"/>
    <w:rsid w:val="0014553D"/>
    <w:rsid w:val="00151805"/>
    <w:rsid w:val="0018453C"/>
    <w:rsid w:val="0025199F"/>
    <w:rsid w:val="00262BFB"/>
    <w:rsid w:val="002E190E"/>
    <w:rsid w:val="00312421"/>
    <w:rsid w:val="0034320B"/>
    <w:rsid w:val="0035041B"/>
    <w:rsid w:val="003533AA"/>
    <w:rsid w:val="00372A55"/>
    <w:rsid w:val="003A54FF"/>
    <w:rsid w:val="004C1A7E"/>
    <w:rsid w:val="004F65D0"/>
    <w:rsid w:val="004F6D96"/>
    <w:rsid w:val="0054517F"/>
    <w:rsid w:val="0055355B"/>
    <w:rsid w:val="00576237"/>
    <w:rsid w:val="005E47B3"/>
    <w:rsid w:val="005E7D52"/>
    <w:rsid w:val="00655F61"/>
    <w:rsid w:val="006C39E2"/>
    <w:rsid w:val="006D5442"/>
    <w:rsid w:val="006D7FE3"/>
    <w:rsid w:val="006E085B"/>
    <w:rsid w:val="006F455E"/>
    <w:rsid w:val="007072D9"/>
    <w:rsid w:val="0073245A"/>
    <w:rsid w:val="007715EF"/>
    <w:rsid w:val="007A0C65"/>
    <w:rsid w:val="007B431F"/>
    <w:rsid w:val="007E4CC3"/>
    <w:rsid w:val="00801E01"/>
    <w:rsid w:val="00834DDF"/>
    <w:rsid w:val="00850DC9"/>
    <w:rsid w:val="0089440C"/>
    <w:rsid w:val="009415A1"/>
    <w:rsid w:val="009427F2"/>
    <w:rsid w:val="009A7459"/>
    <w:rsid w:val="009B71E7"/>
    <w:rsid w:val="00A76362"/>
    <w:rsid w:val="00A86842"/>
    <w:rsid w:val="00AB2741"/>
    <w:rsid w:val="00B109C2"/>
    <w:rsid w:val="00BA6311"/>
    <w:rsid w:val="00C35F38"/>
    <w:rsid w:val="00C47BB8"/>
    <w:rsid w:val="00C52D1F"/>
    <w:rsid w:val="00CE3F52"/>
    <w:rsid w:val="00D81B35"/>
    <w:rsid w:val="00DA6F5B"/>
    <w:rsid w:val="00DA7F84"/>
    <w:rsid w:val="00E20FB4"/>
    <w:rsid w:val="00E40834"/>
    <w:rsid w:val="00E429D8"/>
    <w:rsid w:val="00E44C58"/>
    <w:rsid w:val="00E925CD"/>
    <w:rsid w:val="00F23B56"/>
    <w:rsid w:val="00F56A05"/>
    <w:rsid w:val="00F7116F"/>
    <w:rsid w:val="01405C62"/>
    <w:rsid w:val="01F263DB"/>
    <w:rsid w:val="01F648EB"/>
    <w:rsid w:val="024C6702"/>
    <w:rsid w:val="026505B4"/>
    <w:rsid w:val="028630A1"/>
    <w:rsid w:val="02FD4879"/>
    <w:rsid w:val="038C7FF1"/>
    <w:rsid w:val="03AA3E3B"/>
    <w:rsid w:val="03EA5C50"/>
    <w:rsid w:val="04600135"/>
    <w:rsid w:val="05054F3D"/>
    <w:rsid w:val="05F46152"/>
    <w:rsid w:val="05F835B0"/>
    <w:rsid w:val="06113422"/>
    <w:rsid w:val="063B27DE"/>
    <w:rsid w:val="065E25EC"/>
    <w:rsid w:val="06835E42"/>
    <w:rsid w:val="07487AC1"/>
    <w:rsid w:val="07623DA7"/>
    <w:rsid w:val="081119C7"/>
    <w:rsid w:val="08DE4DFD"/>
    <w:rsid w:val="0A1D1E06"/>
    <w:rsid w:val="0A4C7CCD"/>
    <w:rsid w:val="0B486D9D"/>
    <w:rsid w:val="0B4F52A1"/>
    <w:rsid w:val="0B652DFD"/>
    <w:rsid w:val="0BD448F3"/>
    <w:rsid w:val="0C7B7749"/>
    <w:rsid w:val="0CE2397A"/>
    <w:rsid w:val="0CEE5818"/>
    <w:rsid w:val="0DDF3EA9"/>
    <w:rsid w:val="0F0A0BC6"/>
    <w:rsid w:val="0F216C64"/>
    <w:rsid w:val="0F3E23E2"/>
    <w:rsid w:val="0F5C4EB1"/>
    <w:rsid w:val="0F760C96"/>
    <w:rsid w:val="0F8B51E9"/>
    <w:rsid w:val="106B2554"/>
    <w:rsid w:val="1085571C"/>
    <w:rsid w:val="12970A77"/>
    <w:rsid w:val="12D300E7"/>
    <w:rsid w:val="136B79EF"/>
    <w:rsid w:val="13811EEE"/>
    <w:rsid w:val="14861683"/>
    <w:rsid w:val="14887B46"/>
    <w:rsid w:val="14EF3497"/>
    <w:rsid w:val="153C45B3"/>
    <w:rsid w:val="157947AC"/>
    <w:rsid w:val="1588286F"/>
    <w:rsid w:val="15DB09EF"/>
    <w:rsid w:val="15F714F9"/>
    <w:rsid w:val="1650535C"/>
    <w:rsid w:val="16B75B8F"/>
    <w:rsid w:val="16FE1938"/>
    <w:rsid w:val="170C3948"/>
    <w:rsid w:val="17EC7FC1"/>
    <w:rsid w:val="17F81734"/>
    <w:rsid w:val="180061CB"/>
    <w:rsid w:val="18154C5A"/>
    <w:rsid w:val="189B6AAB"/>
    <w:rsid w:val="18EF3804"/>
    <w:rsid w:val="195C3A7E"/>
    <w:rsid w:val="1A2375F0"/>
    <w:rsid w:val="1AC0275A"/>
    <w:rsid w:val="1AE500E3"/>
    <w:rsid w:val="1B1D1342"/>
    <w:rsid w:val="1B2A6629"/>
    <w:rsid w:val="1BBC2184"/>
    <w:rsid w:val="1C103D2D"/>
    <w:rsid w:val="1C1965EC"/>
    <w:rsid w:val="1C7701B9"/>
    <w:rsid w:val="1CEA3F89"/>
    <w:rsid w:val="1CF73295"/>
    <w:rsid w:val="1D451326"/>
    <w:rsid w:val="1D5F4748"/>
    <w:rsid w:val="1D99665F"/>
    <w:rsid w:val="1E621D9B"/>
    <w:rsid w:val="1E9448CB"/>
    <w:rsid w:val="1E945AB3"/>
    <w:rsid w:val="1EFB5835"/>
    <w:rsid w:val="1F8A1433"/>
    <w:rsid w:val="1FD94E57"/>
    <w:rsid w:val="205247F6"/>
    <w:rsid w:val="206501BF"/>
    <w:rsid w:val="20C21B5F"/>
    <w:rsid w:val="20D8491F"/>
    <w:rsid w:val="2163103A"/>
    <w:rsid w:val="217D79B3"/>
    <w:rsid w:val="219B3B12"/>
    <w:rsid w:val="21F8300E"/>
    <w:rsid w:val="22D4227E"/>
    <w:rsid w:val="22FA27EC"/>
    <w:rsid w:val="230477A4"/>
    <w:rsid w:val="234550B7"/>
    <w:rsid w:val="2384696C"/>
    <w:rsid w:val="23B968AE"/>
    <w:rsid w:val="240772FF"/>
    <w:rsid w:val="24183DF0"/>
    <w:rsid w:val="247778DD"/>
    <w:rsid w:val="247A77A8"/>
    <w:rsid w:val="24D6630F"/>
    <w:rsid w:val="24F84929"/>
    <w:rsid w:val="252A0A7B"/>
    <w:rsid w:val="257B506C"/>
    <w:rsid w:val="25AF42DB"/>
    <w:rsid w:val="25B348BA"/>
    <w:rsid w:val="25DE1005"/>
    <w:rsid w:val="25FD2566"/>
    <w:rsid w:val="26816946"/>
    <w:rsid w:val="26DB7398"/>
    <w:rsid w:val="2705728B"/>
    <w:rsid w:val="27417BF8"/>
    <w:rsid w:val="27693B45"/>
    <w:rsid w:val="283A129B"/>
    <w:rsid w:val="28FE78EF"/>
    <w:rsid w:val="29672817"/>
    <w:rsid w:val="29954B63"/>
    <w:rsid w:val="29A41943"/>
    <w:rsid w:val="29B831E7"/>
    <w:rsid w:val="29DF16A7"/>
    <w:rsid w:val="29F74F67"/>
    <w:rsid w:val="2A484907"/>
    <w:rsid w:val="2B755902"/>
    <w:rsid w:val="2BA81833"/>
    <w:rsid w:val="2BAC3F70"/>
    <w:rsid w:val="2BB02AB9"/>
    <w:rsid w:val="2C56166B"/>
    <w:rsid w:val="2C772798"/>
    <w:rsid w:val="2CE33635"/>
    <w:rsid w:val="2D391980"/>
    <w:rsid w:val="2D7C6F9A"/>
    <w:rsid w:val="2ED263DE"/>
    <w:rsid w:val="2F312BD6"/>
    <w:rsid w:val="2F4F315F"/>
    <w:rsid w:val="2F5260FE"/>
    <w:rsid w:val="2F78760A"/>
    <w:rsid w:val="30780EC9"/>
    <w:rsid w:val="31651329"/>
    <w:rsid w:val="31C46552"/>
    <w:rsid w:val="31EC7268"/>
    <w:rsid w:val="32691E0F"/>
    <w:rsid w:val="33722AF4"/>
    <w:rsid w:val="339F6CDD"/>
    <w:rsid w:val="344952F9"/>
    <w:rsid w:val="34F20284"/>
    <w:rsid w:val="3619346A"/>
    <w:rsid w:val="366152C5"/>
    <w:rsid w:val="37DD34EA"/>
    <w:rsid w:val="3859649B"/>
    <w:rsid w:val="386D2696"/>
    <w:rsid w:val="38CA384A"/>
    <w:rsid w:val="39227B1B"/>
    <w:rsid w:val="39406911"/>
    <w:rsid w:val="39850296"/>
    <w:rsid w:val="39C26750"/>
    <w:rsid w:val="3A7F1D43"/>
    <w:rsid w:val="3A8D223E"/>
    <w:rsid w:val="3B291386"/>
    <w:rsid w:val="3B563038"/>
    <w:rsid w:val="3B7A306D"/>
    <w:rsid w:val="3B80307E"/>
    <w:rsid w:val="3BCA7BD7"/>
    <w:rsid w:val="3C6C37E2"/>
    <w:rsid w:val="3C7D1C3F"/>
    <w:rsid w:val="3CEA3E5A"/>
    <w:rsid w:val="3CFD6A0C"/>
    <w:rsid w:val="3DDA1E4D"/>
    <w:rsid w:val="3DE06285"/>
    <w:rsid w:val="400943B7"/>
    <w:rsid w:val="40143523"/>
    <w:rsid w:val="406B2735"/>
    <w:rsid w:val="4171469C"/>
    <w:rsid w:val="42C454C8"/>
    <w:rsid w:val="43482ADF"/>
    <w:rsid w:val="43497E11"/>
    <w:rsid w:val="438C52D1"/>
    <w:rsid w:val="43AC66F1"/>
    <w:rsid w:val="43AF1DC7"/>
    <w:rsid w:val="442360D8"/>
    <w:rsid w:val="450B3104"/>
    <w:rsid w:val="45374F70"/>
    <w:rsid w:val="45A32D85"/>
    <w:rsid w:val="45E922E2"/>
    <w:rsid w:val="46181B9F"/>
    <w:rsid w:val="46B73DB3"/>
    <w:rsid w:val="46B85A12"/>
    <w:rsid w:val="46C20ABF"/>
    <w:rsid w:val="471C5409"/>
    <w:rsid w:val="475E76EE"/>
    <w:rsid w:val="47B54AE2"/>
    <w:rsid w:val="484652C3"/>
    <w:rsid w:val="489E735B"/>
    <w:rsid w:val="48EF215B"/>
    <w:rsid w:val="49547ADE"/>
    <w:rsid w:val="499358EA"/>
    <w:rsid w:val="49A70025"/>
    <w:rsid w:val="4A9518DB"/>
    <w:rsid w:val="4AB935E6"/>
    <w:rsid w:val="4B1F601E"/>
    <w:rsid w:val="4B65339C"/>
    <w:rsid w:val="4BE2220E"/>
    <w:rsid w:val="4CBF2857"/>
    <w:rsid w:val="4CF82AE4"/>
    <w:rsid w:val="4D097364"/>
    <w:rsid w:val="4D2B1D82"/>
    <w:rsid w:val="4D667BB3"/>
    <w:rsid w:val="4D7808AB"/>
    <w:rsid w:val="4DC87963"/>
    <w:rsid w:val="4E0626FD"/>
    <w:rsid w:val="4EA45B39"/>
    <w:rsid w:val="4EED2017"/>
    <w:rsid w:val="4F2E2211"/>
    <w:rsid w:val="4F4E78CD"/>
    <w:rsid w:val="4FA62E1E"/>
    <w:rsid w:val="4FAC0AB2"/>
    <w:rsid w:val="4FC809F8"/>
    <w:rsid w:val="4FE85961"/>
    <w:rsid w:val="50072C4D"/>
    <w:rsid w:val="50341189"/>
    <w:rsid w:val="50837233"/>
    <w:rsid w:val="514C5668"/>
    <w:rsid w:val="51513799"/>
    <w:rsid w:val="518C29B6"/>
    <w:rsid w:val="52170DB7"/>
    <w:rsid w:val="52AA23A8"/>
    <w:rsid w:val="52B7187A"/>
    <w:rsid w:val="52BF3A93"/>
    <w:rsid w:val="53A5465B"/>
    <w:rsid w:val="53B6028C"/>
    <w:rsid w:val="54392B16"/>
    <w:rsid w:val="54442E65"/>
    <w:rsid w:val="545B2AA1"/>
    <w:rsid w:val="549B5701"/>
    <w:rsid w:val="54A9277D"/>
    <w:rsid w:val="55182E77"/>
    <w:rsid w:val="553F16B7"/>
    <w:rsid w:val="558856A9"/>
    <w:rsid w:val="55CA2A9E"/>
    <w:rsid w:val="55CA3B80"/>
    <w:rsid w:val="55E50F1B"/>
    <w:rsid w:val="565F6886"/>
    <w:rsid w:val="56BC237C"/>
    <w:rsid w:val="56CD4B4D"/>
    <w:rsid w:val="575C7815"/>
    <w:rsid w:val="5798381B"/>
    <w:rsid w:val="57D4447A"/>
    <w:rsid w:val="57F759F2"/>
    <w:rsid w:val="585447AE"/>
    <w:rsid w:val="58AF736D"/>
    <w:rsid w:val="58EC4DE1"/>
    <w:rsid w:val="596B72CE"/>
    <w:rsid w:val="59B3494A"/>
    <w:rsid w:val="59DE76C7"/>
    <w:rsid w:val="59EB1B1F"/>
    <w:rsid w:val="59EC6E24"/>
    <w:rsid w:val="5A0B2520"/>
    <w:rsid w:val="5A186813"/>
    <w:rsid w:val="5A3B2376"/>
    <w:rsid w:val="5A40591F"/>
    <w:rsid w:val="5A6F0692"/>
    <w:rsid w:val="5ABF2E42"/>
    <w:rsid w:val="5B586398"/>
    <w:rsid w:val="5B916903"/>
    <w:rsid w:val="5BEF472E"/>
    <w:rsid w:val="5C932202"/>
    <w:rsid w:val="5CC87E6F"/>
    <w:rsid w:val="5CD918EA"/>
    <w:rsid w:val="5D247D3D"/>
    <w:rsid w:val="5DAE1AC9"/>
    <w:rsid w:val="5E153AF5"/>
    <w:rsid w:val="5F0E1E7F"/>
    <w:rsid w:val="5F112305"/>
    <w:rsid w:val="5F2767B3"/>
    <w:rsid w:val="5FE31F70"/>
    <w:rsid w:val="60045498"/>
    <w:rsid w:val="614C1844"/>
    <w:rsid w:val="617A6C2D"/>
    <w:rsid w:val="618968F0"/>
    <w:rsid w:val="619E6355"/>
    <w:rsid w:val="61BD64DA"/>
    <w:rsid w:val="6215384D"/>
    <w:rsid w:val="627460EE"/>
    <w:rsid w:val="62AC06BC"/>
    <w:rsid w:val="633B4987"/>
    <w:rsid w:val="63525D55"/>
    <w:rsid w:val="63F321C7"/>
    <w:rsid w:val="643C4B36"/>
    <w:rsid w:val="64C20A08"/>
    <w:rsid w:val="64F06443"/>
    <w:rsid w:val="65737FB9"/>
    <w:rsid w:val="65DF5ECF"/>
    <w:rsid w:val="665A45AE"/>
    <w:rsid w:val="66A662C4"/>
    <w:rsid w:val="66DE2D4E"/>
    <w:rsid w:val="67222B8A"/>
    <w:rsid w:val="679D182D"/>
    <w:rsid w:val="67BB6396"/>
    <w:rsid w:val="68070598"/>
    <w:rsid w:val="68794E30"/>
    <w:rsid w:val="687B5327"/>
    <w:rsid w:val="688621C1"/>
    <w:rsid w:val="68C15BDE"/>
    <w:rsid w:val="6AD23ACD"/>
    <w:rsid w:val="6AE706B2"/>
    <w:rsid w:val="6B103823"/>
    <w:rsid w:val="6B315A81"/>
    <w:rsid w:val="6C3F4637"/>
    <w:rsid w:val="6C9D07C7"/>
    <w:rsid w:val="6CB426A8"/>
    <w:rsid w:val="6D0F46E3"/>
    <w:rsid w:val="6D3835CD"/>
    <w:rsid w:val="6D9B59D3"/>
    <w:rsid w:val="6DDF18A8"/>
    <w:rsid w:val="6E7742D5"/>
    <w:rsid w:val="6E947A29"/>
    <w:rsid w:val="6EFB1E55"/>
    <w:rsid w:val="701E0D35"/>
    <w:rsid w:val="708C2BAE"/>
    <w:rsid w:val="717A54B6"/>
    <w:rsid w:val="71E47115"/>
    <w:rsid w:val="72124418"/>
    <w:rsid w:val="72946163"/>
    <w:rsid w:val="72BF52A3"/>
    <w:rsid w:val="73520170"/>
    <w:rsid w:val="73B32D5B"/>
    <w:rsid w:val="74906E74"/>
    <w:rsid w:val="74D2633E"/>
    <w:rsid w:val="75127B2A"/>
    <w:rsid w:val="756B70AB"/>
    <w:rsid w:val="762D45E7"/>
    <w:rsid w:val="76432C97"/>
    <w:rsid w:val="76472E5B"/>
    <w:rsid w:val="76622032"/>
    <w:rsid w:val="76DA2B8D"/>
    <w:rsid w:val="773F1B2E"/>
    <w:rsid w:val="776141C0"/>
    <w:rsid w:val="77E71EE7"/>
    <w:rsid w:val="78403651"/>
    <w:rsid w:val="784051C1"/>
    <w:rsid w:val="789E16E5"/>
    <w:rsid w:val="78DB40C6"/>
    <w:rsid w:val="7954401D"/>
    <w:rsid w:val="79547EF1"/>
    <w:rsid w:val="79A24C96"/>
    <w:rsid w:val="7AC02D1F"/>
    <w:rsid w:val="7AE80A7B"/>
    <w:rsid w:val="7AE861A8"/>
    <w:rsid w:val="7B452E9A"/>
    <w:rsid w:val="7B5E14E4"/>
    <w:rsid w:val="7B741965"/>
    <w:rsid w:val="7BBF78B4"/>
    <w:rsid w:val="7BFE30BC"/>
    <w:rsid w:val="7C0A7BF1"/>
    <w:rsid w:val="7CD24C07"/>
    <w:rsid w:val="7CDD0037"/>
    <w:rsid w:val="7D2C5AF6"/>
    <w:rsid w:val="7D8F4D87"/>
    <w:rsid w:val="7DBB66FE"/>
    <w:rsid w:val="7DBE27C1"/>
    <w:rsid w:val="7DCA5F0F"/>
    <w:rsid w:val="7E1F736F"/>
    <w:rsid w:val="7E300305"/>
    <w:rsid w:val="7E7D74C3"/>
    <w:rsid w:val="7F346A78"/>
    <w:rsid w:val="7FA57776"/>
    <w:rsid w:val="7FC25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link w:val="10"/>
    <w:semiHidden/>
    <w:unhideWhenUsed/>
    <w:qFormat/>
    <w:uiPriority w:val="1"/>
    <w:rPr>
      <w:rFonts w:ascii="宋体" w:hAnsi="宋体" w:cs="Courier New"/>
      <w:sz w:val="32"/>
      <w:szCs w:val="32"/>
    </w:rPr>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Document Map"/>
    <w:basedOn w:val="1"/>
    <w:semiHidden/>
    <w:qFormat/>
    <w:uiPriority w:val="0"/>
    <w:pPr>
      <w:shd w:val="clear" w:color="auto" w:fill="000080"/>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qFormat/>
    <w:uiPriority w:val="0"/>
    <w:pPr>
      <w:widowControl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Times New Roman" w:hAnsi="Times New Roman" w:eastAsia="宋体" w:cs="Times New Roman"/>
      <w:kern w:val="0"/>
      <w:sz w:val="24"/>
      <w:szCs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 Char"/>
    <w:basedOn w:val="1"/>
    <w:link w:val="9"/>
    <w:qFormat/>
    <w:uiPriority w:val="0"/>
    <w:rPr>
      <w:rFonts w:ascii="宋体" w:hAnsi="宋体" w:cs="Courier New"/>
      <w:sz w:val="32"/>
      <w:szCs w:val="32"/>
    </w:rPr>
  </w:style>
  <w:style w:type="character" w:styleId="11">
    <w:name w:val="Strong"/>
    <w:basedOn w:val="9"/>
    <w:qFormat/>
    <w:uiPriority w:val="0"/>
    <w:rPr>
      <w:b/>
      <w:bCs/>
    </w:rPr>
  </w:style>
  <w:style w:type="character" w:customStyle="1" w:styleId="12">
    <w:name w:val="页眉 Char"/>
    <w:link w:val="5"/>
    <w:qFormat/>
    <w:uiPriority w:val="0"/>
    <w:rPr>
      <w:kern w:val="2"/>
      <w:sz w:val="18"/>
      <w:szCs w:val="18"/>
    </w:rPr>
  </w:style>
  <w:style w:type="character" w:customStyle="1" w:styleId="13">
    <w:name w:val="页脚 Char"/>
    <w:link w:val="4"/>
    <w:qFormat/>
    <w:uiPriority w:val="0"/>
    <w:rPr>
      <w:kern w:val="2"/>
      <w:sz w:val="18"/>
      <w:szCs w:val="18"/>
    </w:rPr>
  </w:style>
  <w:style w:type="paragraph" w:customStyle="1" w:styleId="14">
    <w:name w:val="[Normal]"/>
    <w:qFormat/>
    <w:uiPriority w:val="0"/>
    <w:rPr>
      <w:rFonts w:ascii="宋体" w:hAnsi="宋体" w:eastAsia="宋体" w:cs="Times New Roman"/>
      <w:sz w:val="24"/>
      <w:lang w:val="zh-CN" w:eastAsia="zh-CN" w:bidi="ar-SA"/>
    </w:rPr>
  </w:style>
  <w:style w:type="paragraph" w:customStyle="1" w:styleId="1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xc</Company>
  <Pages>12</Pages>
  <Words>4284</Words>
  <Characters>4740</Characters>
  <Lines>13</Lines>
  <Paragraphs>5</Paragraphs>
  <TotalTime>43</TotalTime>
  <ScaleCrop>false</ScaleCrop>
  <LinksUpToDate>false</LinksUpToDate>
  <CharactersWithSpaces>4780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2020-01-06T08:45:00Z</dcterms:created>
  <dc:creator>dsx</dc:creator>
  <cp:lastModifiedBy>陈长安</cp:lastModifiedBy>
  <dcterms:modified xsi:type="dcterms:W3CDTF">2023-04-07T02:08:19Z</dcterms:modified>
  <dc:title>关于2019年部门预算的批复</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EDOID">
    <vt:r8>5838458</vt:r8>
  </property>
  <property fmtid="{D5CDD505-2E9C-101B-9397-08002B2CF9AE}" pid="4" name="ICV">
    <vt:lpwstr>E7E435903E954F16B3A6550F30CE4D1E</vt:lpwstr>
  </property>
</Properties>
</file>