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beforeLines="0" w:afterLines="0" w:line="560" w:lineRule="exact"/>
        <w:jc w:val="both"/>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autoSpaceDE/>
        <w:autoSpaceDN/>
        <w:bidi w:val="0"/>
        <w:adjustRightInd/>
        <w:snapToGrid/>
        <w:spacing w:beforeLines="0" w:afterLines="0" w:line="560" w:lineRule="exact"/>
        <w:ind w:right="0" w:rightChars="0" w:firstLine="921" w:firstLineChars="196"/>
        <w:textAlignment w:val="auto"/>
        <w:outlineLvl w:val="9"/>
        <w:rPr>
          <w:rFonts w:hint="eastAsia" w:ascii="方正小标宋简体" w:hAnsi="方正小标宋简体" w:eastAsia="方正小标宋简体" w:cs="方正小标宋简体"/>
          <w:bCs/>
          <w:spacing w:val="15"/>
          <w:sz w:val="44"/>
          <w:szCs w:val="44"/>
          <w:highlight w:val="none"/>
          <w:lang w:val="en" w:eastAsia="zh-CN"/>
        </w:rPr>
      </w:pPr>
    </w:p>
    <w:p>
      <w:pPr>
        <w:keepNext w:val="0"/>
        <w:keepLines w:val="0"/>
        <w:pageBreakBefore w:val="0"/>
        <w:kinsoku/>
        <w:wordWrap/>
        <w:overflowPunct/>
        <w:topLinePunct w:val="0"/>
        <w:autoSpaceDE/>
        <w:autoSpaceDN/>
        <w:bidi w:val="0"/>
        <w:adjustRightInd/>
        <w:snapToGrid/>
        <w:spacing w:beforeLines="0" w:afterLines="0" w:line="560" w:lineRule="exact"/>
        <w:ind w:right="0" w:rightChars="0" w:firstLine="921" w:firstLineChars="196"/>
        <w:textAlignment w:val="auto"/>
        <w:outlineLvl w:val="9"/>
        <w:rPr>
          <w:rFonts w:hint="eastAsia" w:ascii="方正小标宋简体" w:hAnsi="方正小标宋简体" w:eastAsia="方正小标宋简体" w:cs="方正小标宋简体"/>
          <w:bCs/>
          <w:spacing w:val="15"/>
          <w:sz w:val="44"/>
          <w:szCs w:val="44"/>
          <w:highlight w:val="none"/>
          <w:lang w:val="en" w:eastAsia="zh-CN"/>
        </w:rPr>
      </w:pPr>
    </w:p>
    <w:p>
      <w:pPr>
        <w:keepNext w:val="0"/>
        <w:keepLines w:val="0"/>
        <w:pageBreakBefore w:val="0"/>
        <w:kinsoku/>
        <w:wordWrap/>
        <w:overflowPunct/>
        <w:topLinePunct w:val="0"/>
        <w:autoSpaceDE/>
        <w:autoSpaceDN/>
        <w:bidi w:val="0"/>
        <w:adjustRightInd/>
        <w:snapToGrid/>
        <w:spacing w:beforeLines="0" w:afterLines="0" w:line="560" w:lineRule="exact"/>
        <w:ind w:right="0" w:rightChars="0" w:firstLine="921" w:firstLineChars="196"/>
        <w:textAlignment w:val="auto"/>
        <w:outlineLvl w:val="9"/>
        <w:rPr>
          <w:rFonts w:hint="eastAsia" w:ascii="方正小标宋简体" w:hAnsi="方正小标宋简体" w:eastAsia="方正小标宋简体" w:cs="方正小标宋简体"/>
          <w:bCs/>
          <w:spacing w:val="15"/>
          <w:sz w:val="44"/>
          <w:szCs w:val="44"/>
          <w:highlight w:val="none"/>
          <w:lang w:val="en" w:eastAsia="zh-CN"/>
        </w:rPr>
      </w:pPr>
    </w:p>
    <w:p>
      <w:pPr>
        <w:keepNext w:val="0"/>
        <w:keepLines w:val="0"/>
        <w:pageBreakBefore w:val="0"/>
        <w:kinsoku/>
        <w:wordWrap/>
        <w:overflowPunct/>
        <w:topLinePunct w:val="0"/>
        <w:autoSpaceDE/>
        <w:autoSpaceDN/>
        <w:bidi w:val="0"/>
        <w:adjustRightInd/>
        <w:snapToGrid/>
        <w:spacing w:beforeLines="0" w:afterLines="0" w:line="560" w:lineRule="exact"/>
        <w:ind w:right="0" w:rightChars="0" w:firstLine="921" w:firstLineChars="196"/>
        <w:textAlignment w:val="auto"/>
        <w:outlineLvl w:val="9"/>
        <w:rPr>
          <w:rFonts w:hint="eastAsia" w:ascii="方正小标宋简体" w:hAnsi="方正小标宋简体" w:eastAsia="方正小标宋简体" w:cs="方正小标宋简体"/>
          <w:bCs/>
          <w:spacing w:val="15"/>
          <w:sz w:val="44"/>
          <w:szCs w:val="44"/>
          <w:highlight w:val="none"/>
          <w:lang w:val="en" w:eastAsia="zh-CN"/>
        </w:rPr>
      </w:pPr>
    </w:p>
    <w:p>
      <w:pPr>
        <w:keepNext w:val="0"/>
        <w:keepLines w:val="0"/>
        <w:pageBreakBefore w:val="0"/>
        <w:kinsoku/>
        <w:wordWrap/>
        <w:overflowPunct/>
        <w:topLinePunct w:val="0"/>
        <w:autoSpaceDE/>
        <w:autoSpaceDN/>
        <w:bidi w:val="0"/>
        <w:adjustRightInd/>
        <w:snapToGrid/>
        <w:spacing w:beforeLines="0" w:afterLines="0" w:line="560" w:lineRule="exact"/>
        <w:ind w:right="0" w:rightChars="0" w:firstLine="921" w:firstLineChars="196"/>
        <w:textAlignment w:val="auto"/>
        <w:outlineLvl w:val="9"/>
        <w:rPr>
          <w:rFonts w:hint="eastAsia" w:ascii="方正小标宋简体" w:hAnsi="方正小标宋简体" w:eastAsia="方正小标宋简体" w:cs="方正小标宋简体"/>
          <w:bCs/>
          <w:spacing w:val="15"/>
          <w:sz w:val="44"/>
          <w:szCs w:val="44"/>
          <w:highlight w:val="none"/>
          <w:lang w:val="en" w:eastAsia="zh-CN"/>
        </w:rPr>
      </w:pPr>
    </w:p>
    <w:p>
      <w:pPr>
        <w:keepNext w:val="0"/>
        <w:keepLines w:val="0"/>
        <w:pageBreakBefore w:val="0"/>
        <w:kinsoku/>
        <w:wordWrap/>
        <w:overflowPunct/>
        <w:topLinePunct w:val="0"/>
        <w:autoSpaceDE/>
        <w:autoSpaceDN/>
        <w:bidi w:val="0"/>
        <w:adjustRightInd/>
        <w:snapToGrid/>
        <w:spacing w:beforeLines="0" w:afterLines="0" w:line="560" w:lineRule="exact"/>
        <w:ind w:right="0" w:rightChars="0" w:firstLine="921" w:firstLineChars="196"/>
        <w:textAlignment w:val="auto"/>
        <w:outlineLvl w:val="9"/>
        <w:rPr>
          <w:rFonts w:hint="eastAsia" w:ascii="方正小标宋简体" w:hAnsi="方正小标宋简体" w:eastAsia="方正小标宋简体" w:cs="方正小标宋简体"/>
          <w:bCs/>
          <w:spacing w:val="15"/>
          <w:sz w:val="44"/>
          <w:szCs w:val="44"/>
          <w:highlight w:val="none"/>
          <w:lang w:val="en" w:eastAsia="zh-CN"/>
        </w:rPr>
      </w:pPr>
    </w:p>
    <w:p>
      <w:pPr>
        <w:keepNext w:val="0"/>
        <w:keepLines w:val="0"/>
        <w:pageBreakBefore w:val="0"/>
        <w:kinsoku/>
        <w:wordWrap/>
        <w:overflowPunct/>
        <w:topLinePunct w:val="0"/>
        <w:autoSpaceDE/>
        <w:autoSpaceDN/>
        <w:bidi w:val="0"/>
        <w:adjustRightInd/>
        <w:snapToGrid/>
        <w:spacing w:beforeLines="0" w:afterLines="0" w:line="560" w:lineRule="exact"/>
        <w:ind w:right="0" w:rightChars="0" w:firstLine="921" w:firstLineChars="196"/>
        <w:textAlignment w:val="auto"/>
        <w:outlineLvl w:val="9"/>
        <w:rPr>
          <w:rStyle w:val="8"/>
          <w:rFonts w:hint="eastAsia" w:ascii="黑体" w:eastAsia="方正小标宋简体"/>
          <w:b w:val="0"/>
          <w:color w:val="000000"/>
          <w:sz w:val="32"/>
          <w:szCs w:val="32"/>
          <w:highlight w:val="none"/>
          <w:lang w:val="en-US" w:eastAsia="zh-CN"/>
        </w:rPr>
      </w:pPr>
      <w:r>
        <w:rPr>
          <w:rFonts w:hint="eastAsia" w:ascii="方正小标宋简体" w:hAnsi="方正小标宋简体" w:eastAsia="方正小标宋简体" w:cs="方正小标宋简体"/>
          <w:bCs/>
          <w:spacing w:val="15"/>
          <w:sz w:val="44"/>
          <w:szCs w:val="44"/>
          <w:highlight w:val="none"/>
          <w:lang w:val="en" w:eastAsia="zh-CN"/>
        </w:rPr>
        <w:t>浙江省丽水中学</w:t>
      </w:r>
      <w:r>
        <w:rPr>
          <w:rFonts w:hint="eastAsia" w:ascii="方正小标宋简体" w:hAnsi="方正小标宋简体" w:eastAsia="方正小标宋简体" w:cs="方正小标宋简体"/>
          <w:bCs/>
          <w:spacing w:val="15"/>
          <w:sz w:val="44"/>
          <w:szCs w:val="44"/>
          <w:highlight w:val="none"/>
          <w:lang w:val="en-US" w:eastAsia="zh-CN"/>
        </w:rPr>
        <w:t>2023</w:t>
      </w:r>
      <w:r>
        <w:rPr>
          <w:rFonts w:hint="eastAsia" w:ascii="方正小标宋简体" w:hAnsi="方正小标宋简体" w:eastAsia="方正小标宋简体" w:cs="方正小标宋简体"/>
          <w:bCs/>
          <w:spacing w:val="15"/>
          <w:sz w:val="44"/>
          <w:szCs w:val="44"/>
          <w:highlight w:val="none"/>
        </w:rPr>
        <w:t>年</w:t>
      </w:r>
      <w:r>
        <w:rPr>
          <w:rFonts w:hint="eastAsia" w:ascii="方正小标宋简体" w:hAnsi="方正小标宋简体" w:eastAsia="方正小标宋简体" w:cs="方正小标宋简体"/>
          <w:bCs/>
          <w:spacing w:val="15"/>
          <w:sz w:val="44"/>
          <w:szCs w:val="44"/>
          <w:highlight w:val="none"/>
          <w:lang w:val="en-US" w:eastAsia="zh-CN"/>
        </w:rPr>
        <w:t>单位</w:t>
      </w:r>
      <w:r>
        <w:rPr>
          <w:rFonts w:hint="eastAsia" w:ascii="方正小标宋简体" w:hAnsi="方正小标宋简体" w:eastAsia="方正小标宋简体" w:cs="方正小标宋简体"/>
          <w:bCs/>
          <w:spacing w:val="15"/>
          <w:sz w:val="44"/>
          <w:szCs w:val="44"/>
          <w:highlight w:val="none"/>
        </w:rPr>
        <w:t>预算</w:t>
      </w:r>
      <w:r>
        <w:rPr>
          <w:rFonts w:hint="eastAsia" w:ascii="方正小标宋简体" w:hAnsi="方正小标宋简体" w:eastAsia="方正小标宋简体" w:cs="方正小标宋简体"/>
          <w:bCs/>
          <w:spacing w:val="15"/>
          <w:sz w:val="44"/>
          <w:szCs w:val="44"/>
          <w:highlight w:val="none"/>
          <w:lang w:val="en-US" w:eastAsia="zh-CN"/>
        </w:rPr>
        <w:t xml:space="preserve"> </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目录</w:t>
      </w:r>
    </w:p>
    <w:p>
      <w:pPr>
        <w:pStyle w:val="2"/>
        <w:rPr>
          <w:rFonts w:hint="eastAsia"/>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Fonts w:hint="default" w:ascii="Times New Roman" w:hAnsi="Times New Roman" w:eastAsia="黑体"/>
          <w:sz w:val="32"/>
          <w:highlight w:val="none"/>
        </w:rPr>
      </w:pPr>
      <w:r>
        <w:rPr>
          <w:rFonts w:hint="eastAsia" w:ascii="黑体" w:eastAsia="黑体"/>
          <w:color w:val="000000"/>
          <w:sz w:val="32"/>
          <w:highlight w:val="none"/>
        </w:rPr>
        <w:t>一、</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概况</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（一）主要职能</w:t>
      </w:r>
    </w:p>
    <w:p>
      <w:pPr>
        <w:autoSpaceDE w:val="0"/>
        <w:autoSpaceDN w:val="0"/>
        <w:adjustRightInd w:val="0"/>
        <w:ind w:leftChars="200"/>
        <w:jc w:val="left"/>
        <w:rPr>
          <w:rFonts w:hint="default"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rPr>
        <w:t>机构设置情况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二、</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eastAsia="黑体"/>
          <w:b w:val="0"/>
          <w:color w:val="000000"/>
          <w:sz w:val="32"/>
          <w:szCs w:val="32"/>
          <w:highlight w:val="none"/>
          <w:lang w:eastAsia="zh-CN"/>
        </w:rPr>
        <w:t>浙江省丽水中学</w:t>
      </w:r>
      <w:r>
        <w:rPr>
          <w:rStyle w:val="8"/>
          <w:rFonts w:hint="eastAsia" w:ascii="黑体" w:eastAsia="黑体"/>
          <w:b w:val="0"/>
          <w:color w:val="000000"/>
          <w:sz w:val="32"/>
          <w:szCs w:val="32"/>
          <w:highlight w:val="none"/>
        </w:rPr>
        <w:t>预算安排情况说明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w:t>
      </w:r>
      <w:r>
        <w:rPr>
          <w:rFonts w:hint="eastAsia" w:ascii="楷体_GB2312" w:hAnsi="楷体_GB2312" w:eastAsia="楷体_GB2312" w:cs="楷体_GB2312"/>
          <w:b w:val="0"/>
          <w:bCs/>
          <w:sz w:val="32"/>
          <w:szCs w:val="32"/>
          <w:highlight w:val="none"/>
          <w:lang w:eastAsia="zh-CN"/>
        </w:rPr>
        <w:t>关于浙江省丽水中学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lang w:val="en-US" w:eastAsia="zh-CN"/>
        </w:rPr>
        <w:t>（二）</w:t>
      </w:r>
      <w:r>
        <w:rPr>
          <w:rFonts w:hint="eastAsia" w:ascii="楷体_GB2312" w:hAnsi="楷体_GB2312" w:eastAsia="楷体_GB2312" w:cs="楷体_GB2312"/>
          <w:b w:val="0"/>
          <w:bCs/>
          <w:sz w:val="32"/>
          <w:szCs w:val="32"/>
          <w:highlight w:val="none"/>
          <w:lang w:eastAsia="zh-CN"/>
        </w:rPr>
        <w:t>关于浙江省丽水中学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年收入预算</w:t>
      </w:r>
      <w:r>
        <w:rPr>
          <w:rFonts w:hint="eastAsia" w:ascii="楷体_GB2312" w:hAnsi="楷体_GB2312" w:eastAsia="楷体_GB2312" w:cs="楷体_GB2312"/>
          <w:b w:val="0"/>
          <w:bCs/>
          <w:sz w:val="32"/>
          <w:szCs w:val="32"/>
          <w:highlight w:val="none"/>
          <w:lang w:eastAsia="zh-CN"/>
        </w:rPr>
        <w:t>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三</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关于浙江省丽水中学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年支出预算</w:t>
      </w:r>
      <w:r>
        <w:rPr>
          <w:rFonts w:hint="eastAsia" w:ascii="楷体_GB2312" w:hAnsi="楷体_GB2312" w:eastAsia="楷体_GB2312" w:cs="楷体_GB2312"/>
          <w:b w:val="0"/>
          <w:bCs/>
          <w:sz w:val="32"/>
          <w:szCs w:val="32"/>
          <w:highlight w:val="none"/>
          <w:lang w:eastAsia="zh-CN"/>
        </w:rPr>
        <w:t>情况说明</w:t>
      </w:r>
      <w:r>
        <w:rPr>
          <w:rFonts w:hint="eastAsia" w:ascii="楷体_GB2312" w:hAnsi="楷体_GB2312" w:eastAsia="楷体_GB2312" w:cs="楷体_GB2312"/>
          <w:b w:val="0"/>
          <w:bCs/>
          <w:sz w:val="32"/>
          <w:szCs w:val="32"/>
          <w:highlight w:val="none"/>
        </w:rPr>
        <w:br w:type="textWrapping"/>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四</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关于浙江省丽水中学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年财政拨款</w:t>
      </w:r>
      <w:r>
        <w:rPr>
          <w:rFonts w:hint="eastAsia" w:ascii="楷体_GB2312" w:hAnsi="楷体_GB2312" w:eastAsia="楷体_GB2312" w:cs="楷体_GB2312"/>
          <w:b w:val="0"/>
          <w:bCs/>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（五）关于浙江省丽水中学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一般公共预算当年拨款情况说明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val="en-US" w:eastAsia="zh-CN"/>
        </w:rPr>
        <w:t>（六）</w:t>
      </w:r>
      <w:r>
        <w:rPr>
          <w:rFonts w:hint="eastAsia" w:ascii="楷体_GB2312" w:hAnsi="楷体_GB2312" w:eastAsia="楷体_GB2312" w:cs="楷体_GB2312"/>
          <w:b w:val="0"/>
          <w:bCs/>
          <w:sz w:val="32"/>
          <w:szCs w:val="32"/>
          <w:highlight w:val="none"/>
          <w:lang w:eastAsia="zh-CN"/>
        </w:rPr>
        <w:t>关于浙江省丽水中学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一般公共预算基本支出情况说明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（七）关于浙江省丽水中学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政府性基金预算支出情况说明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（八）关于浙江省丽水中学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val="en-US" w:eastAsia="zh-CN"/>
        </w:rPr>
        <w:t>国有资本经营预算</w:t>
      </w:r>
      <w:r>
        <w:rPr>
          <w:rFonts w:hint="eastAsia" w:ascii="楷体_GB2312" w:hAnsi="楷体_GB2312" w:eastAsia="楷体_GB2312" w:cs="楷体_GB2312"/>
          <w:b w:val="0"/>
          <w:bCs/>
          <w:sz w:val="32"/>
          <w:szCs w:val="32"/>
          <w:highlight w:val="none"/>
          <w:lang w:eastAsia="zh-CN"/>
        </w:rPr>
        <w:t>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lang w:eastAsia="zh-CN"/>
        </w:rPr>
        <w:t>（九）关于浙江省丽水中学</w:t>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sz w:val="32"/>
          <w:szCs w:val="32"/>
          <w:highlight w:val="none"/>
        </w:rPr>
        <w:t>“三公”经费预算情况</w:t>
      </w:r>
      <w:r>
        <w:rPr>
          <w:rFonts w:hint="eastAsia" w:ascii="楷体_GB2312" w:hAnsi="楷体_GB2312" w:eastAsia="楷体_GB2312" w:cs="楷体_GB2312"/>
          <w:b w:val="0"/>
          <w:bCs/>
          <w:sz w:val="32"/>
          <w:szCs w:val="32"/>
          <w:highlight w:val="none"/>
          <w:lang w:eastAsia="zh-CN"/>
        </w:rPr>
        <w:t>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hAnsi="Calibri" w:eastAsia="黑体" w:cs="Times New Roman"/>
          <w:b w:val="0"/>
          <w:color w:val="000000"/>
          <w:kern w:val="2"/>
          <w:sz w:val="32"/>
          <w:szCs w:val="32"/>
          <w:highlight w:val="none"/>
          <w:lang w:val="en-US" w:eastAsia="zh-CN" w:bidi="ar-SA"/>
        </w:rPr>
      </w:pPr>
      <w:r>
        <w:rPr>
          <w:rStyle w:val="8"/>
          <w:rFonts w:hint="eastAsia" w:ascii="黑体" w:hAnsi="Calibri" w:eastAsia="黑体" w:cs="Times New Roman"/>
          <w:b w:val="0"/>
          <w:color w:val="000000"/>
          <w:kern w:val="2"/>
          <w:sz w:val="32"/>
          <w:szCs w:val="32"/>
          <w:highlight w:val="none"/>
          <w:lang w:val="en-US" w:eastAsia="zh-CN" w:bidi="ar-SA"/>
        </w:rPr>
        <w:t>三、名词解释</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8"/>
          <w:rFonts w:hint="eastAsia" w:ascii="黑体" w:eastAsia="黑体"/>
          <w:b w:val="0"/>
          <w:color w:val="000000"/>
          <w:sz w:val="32"/>
          <w:szCs w:val="32"/>
          <w:highlight w:val="none"/>
          <w:lang w:eastAsia="zh-CN"/>
        </w:rPr>
      </w:pPr>
      <w:r>
        <w:rPr>
          <w:rStyle w:val="8"/>
          <w:rFonts w:hint="eastAsia" w:ascii="黑体" w:eastAsia="黑体"/>
          <w:b w:val="0"/>
          <w:color w:val="000000"/>
          <w:sz w:val="32"/>
          <w:szCs w:val="32"/>
          <w:highlight w:val="none"/>
          <w:lang w:eastAsia="zh-CN"/>
        </w:rPr>
        <w:t>四、</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eastAsia="黑体"/>
          <w:b w:val="0"/>
          <w:color w:val="000000"/>
          <w:sz w:val="32"/>
          <w:szCs w:val="32"/>
          <w:highlight w:val="none"/>
          <w:lang w:eastAsia="zh-CN"/>
        </w:rPr>
        <w:t>浙江省丽水中学预算表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（一）2023年市本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val="en-US" w:eastAsia="zh-CN"/>
        </w:rPr>
        <w:t>单位收支预算总表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（二）2023年市本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收入预算总表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（三）2023年市本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支出预算总表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（四）2023年市本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财政拨款收支预算总表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（五）2023年市本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一般公共预算支出表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（六）2023年市本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一般公共预算基本支出表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（七）2023年市本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一般公共预算“三公”经费支出表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（八）2023年市本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政府性基金预算支出表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（九）2023年市本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国有资本经营预算支出表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（十）2023年市本</w:t>
      </w:r>
      <w:r>
        <w:rPr>
          <w:rFonts w:hint="default" w:ascii="楷体_GB2312" w:hAnsi="楷体_GB2312" w:eastAsia="楷体_GB2312" w:cs="楷体_GB2312"/>
          <w:b w:val="0"/>
          <w:bCs/>
          <w:sz w:val="32"/>
          <w:szCs w:val="32"/>
          <w:highlight w:val="none"/>
          <w:lang w:val="en" w:eastAsia="zh-CN"/>
        </w:rPr>
        <w:t>级</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lang w:val="en-US" w:eastAsia="zh-CN"/>
        </w:rPr>
        <w:t>项目支出预算表</w:t>
      </w:r>
    </w:p>
    <w:p>
      <w:pPr>
        <w:pStyle w:val="2"/>
        <w:rPr>
          <w:rFonts w:hint="eastAsia" w:ascii="楷体_GB2312" w:hAnsi="楷体_GB2312" w:eastAsia="楷体_GB2312" w:cs="楷体_GB2312"/>
          <w:b w:val="0"/>
          <w:bCs/>
          <w:sz w:val="32"/>
          <w:szCs w:val="32"/>
          <w:highlight w:val="none"/>
          <w:lang w:val="en-US" w:eastAsia="zh-CN"/>
        </w:rPr>
      </w:pPr>
    </w:p>
    <w:p>
      <w:pPr>
        <w:pStyle w:val="2"/>
        <w:rPr>
          <w:rFonts w:hint="eastAsia" w:ascii="楷体_GB2312" w:hAnsi="楷体_GB2312" w:eastAsia="楷体_GB2312" w:cs="楷体_GB2312"/>
          <w:b w:val="0"/>
          <w:bCs/>
          <w:sz w:val="32"/>
          <w:szCs w:val="32"/>
          <w:highlight w:val="none"/>
          <w:lang w:val="en-US" w:eastAsia="zh-CN"/>
        </w:rPr>
      </w:pPr>
    </w:p>
    <w:p>
      <w:pPr>
        <w:pStyle w:val="2"/>
        <w:rPr>
          <w:rFonts w:hint="eastAsia" w:ascii="楷体_GB2312" w:hAnsi="楷体_GB2312" w:eastAsia="楷体_GB2312" w:cs="楷体_GB2312"/>
          <w:b w:val="0"/>
          <w:bCs/>
          <w:sz w:val="32"/>
          <w:szCs w:val="32"/>
          <w:highlight w:val="none"/>
          <w:lang w:val="en-US" w:eastAsia="zh-CN"/>
        </w:rPr>
      </w:pPr>
    </w:p>
    <w:p>
      <w:pPr>
        <w:pStyle w:val="2"/>
        <w:rPr>
          <w:rFonts w:hint="eastAsia" w:ascii="楷体_GB2312" w:hAnsi="楷体_GB2312" w:eastAsia="楷体_GB2312" w:cs="楷体_GB2312"/>
          <w:b w:val="0"/>
          <w:bCs/>
          <w:sz w:val="32"/>
          <w:szCs w:val="32"/>
          <w:highlight w:val="none"/>
          <w:lang w:val="en-US" w:eastAsia="zh-CN"/>
        </w:rPr>
      </w:pPr>
    </w:p>
    <w:p>
      <w:pPr>
        <w:pStyle w:val="2"/>
        <w:rPr>
          <w:rFonts w:hint="eastAsia" w:ascii="楷体_GB2312" w:hAnsi="楷体_GB2312" w:eastAsia="楷体_GB2312" w:cs="楷体_GB2312"/>
          <w:b w:val="0"/>
          <w:bCs/>
          <w:sz w:val="32"/>
          <w:szCs w:val="32"/>
          <w:highlight w:val="none"/>
          <w:lang w:val="en-US" w:eastAsia="zh-CN"/>
        </w:rPr>
      </w:pPr>
    </w:p>
    <w:p>
      <w:pPr>
        <w:pStyle w:val="2"/>
        <w:rPr>
          <w:rFonts w:hint="eastAsia" w:ascii="楷体_GB2312" w:hAnsi="楷体_GB2312" w:eastAsia="楷体_GB2312" w:cs="楷体_GB2312"/>
          <w:b w:val="0"/>
          <w:bCs/>
          <w:sz w:val="32"/>
          <w:szCs w:val="32"/>
          <w:highlight w:val="none"/>
          <w:lang w:val="en-US" w:eastAsia="zh-CN"/>
        </w:rPr>
      </w:pPr>
    </w:p>
    <w:p>
      <w:pPr>
        <w:pStyle w:val="2"/>
        <w:rPr>
          <w:rFonts w:hint="eastAsia" w:ascii="楷体_GB2312" w:hAnsi="楷体_GB2312" w:eastAsia="楷体_GB2312" w:cs="楷体_GB2312"/>
          <w:b w:val="0"/>
          <w:bCs/>
          <w:sz w:val="32"/>
          <w:szCs w:val="32"/>
          <w:highlight w:val="none"/>
          <w:lang w:val="en-US"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Style w:val="8"/>
          <w:rFonts w:hint="eastAsia" w:ascii="黑体" w:eastAsia="黑体"/>
          <w:b w:val="0"/>
          <w:color w:val="000000"/>
          <w:sz w:val="32"/>
          <w:szCs w:val="32"/>
          <w:highlight w:val="none"/>
        </w:rPr>
      </w:pPr>
      <w:r>
        <w:rPr>
          <w:rStyle w:val="8"/>
          <w:rFonts w:hint="eastAsia" w:ascii="黑体" w:eastAsia="黑体"/>
          <w:b w:val="0"/>
          <w:color w:val="000000"/>
          <w:sz w:val="32"/>
          <w:szCs w:val="32"/>
          <w:highlight w:val="none"/>
        </w:rPr>
        <w:t>一、</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概况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rPr>
        <w:t>（一）主要职能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bCs/>
          <w:sz w:val="32"/>
          <w:szCs w:val="32"/>
        </w:rPr>
      </w:pPr>
      <w:r>
        <w:rPr>
          <w:rFonts w:hint="eastAsia" w:ascii="仿宋_GB2312" w:eastAsia="仿宋_GB2312"/>
          <w:bCs/>
          <w:sz w:val="32"/>
          <w:szCs w:val="32"/>
          <w:lang w:val="en-US" w:eastAsia="zh-CN"/>
        </w:rPr>
        <w:t>1</w:t>
      </w:r>
      <w:r>
        <w:rPr>
          <w:rFonts w:hint="eastAsia" w:ascii="仿宋_GB2312" w:eastAsia="仿宋_GB2312"/>
          <w:bCs/>
          <w:sz w:val="32"/>
          <w:szCs w:val="32"/>
        </w:rPr>
        <w:t>.实施高中学历教育。</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bCs/>
          <w:sz w:val="32"/>
          <w:szCs w:val="32"/>
        </w:rPr>
      </w:pPr>
      <w:r>
        <w:rPr>
          <w:rFonts w:hint="eastAsia" w:ascii="仿宋_GB2312" w:eastAsia="仿宋_GB2312"/>
          <w:bCs/>
          <w:sz w:val="32"/>
          <w:szCs w:val="32"/>
        </w:rPr>
        <w:t>2.促进基础教育发展。</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eastAsia="zh-CN"/>
        </w:rPr>
        <w:t>单位</w:t>
      </w:r>
      <w:r>
        <w:rPr>
          <w:rFonts w:hint="eastAsia" w:ascii="楷体_GB2312" w:hAnsi="楷体_GB2312" w:eastAsia="楷体_GB2312" w:cs="楷体_GB2312"/>
          <w:b w:val="0"/>
          <w:bCs/>
          <w:sz w:val="32"/>
          <w:szCs w:val="32"/>
          <w:highlight w:val="none"/>
        </w:rPr>
        <w:t>机构设置情况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eastAsia="仿宋_GB2312"/>
          <w:bCs/>
          <w:sz w:val="32"/>
          <w:szCs w:val="32"/>
        </w:rPr>
        <w:t>从单位机构设置构成看，浙江省丽水中学内设机构有：</w:t>
      </w:r>
      <w:r>
        <w:rPr>
          <w:rFonts w:hint="eastAsia" w:ascii="仿宋_GB2312" w:eastAsia="仿宋_GB2312"/>
          <w:bCs/>
          <w:sz w:val="32"/>
          <w:szCs w:val="32"/>
          <w:lang w:bidi="ar"/>
        </w:rPr>
        <w:t>校务办公室、教学管理处、学生发展处、课程与教师发展处、后勤保障处、信息技术中心</w:t>
      </w:r>
      <w:r>
        <w:rPr>
          <w:rFonts w:hint="eastAsia" w:ascii="仿宋_GB2312" w:eastAsia="仿宋_GB2312"/>
          <w:bCs/>
          <w:sz w:val="32"/>
          <w:szCs w:val="32"/>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楷体_GB2312" w:hAnsi="楷体_GB2312" w:eastAsia="楷体_GB2312" w:cs="楷体_GB2312"/>
          <w:b w:val="0"/>
          <w:bCs w:val="0"/>
          <w:color w:val="000000"/>
          <w:sz w:val="32"/>
          <w:szCs w:val="32"/>
          <w:highlight w:val="none"/>
        </w:rPr>
      </w:pPr>
      <w:r>
        <w:rPr>
          <w:rStyle w:val="8"/>
          <w:rFonts w:hint="eastAsia" w:ascii="黑体" w:eastAsia="黑体"/>
          <w:b w:val="0"/>
          <w:color w:val="000000"/>
          <w:sz w:val="32"/>
          <w:szCs w:val="32"/>
          <w:highlight w:val="none"/>
          <w:lang w:val="en-US" w:eastAsia="zh-CN"/>
        </w:rPr>
        <w:t xml:space="preserve">    </w:t>
      </w:r>
      <w:r>
        <w:rPr>
          <w:rStyle w:val="8"/>
          <w:rFonts w:hint="eastAsia" w:ascii="黑体" w:eastAsia="黑体"/>
          <w:b w:val="0"/>
          <w:color w:val="000000"/>
          <w:sz w:val="32"/>
          <w:szCs w:val="32"/>
          <w:highlight w:val="none"/>
          <w:lang w:eastAsia="zh-CN"/>
        </w:rPr>
        <w:t>二、</w:t>
      </w:r>
      <w:r>
        <w:rPr>
          <w:rStyle w:val="8"/>
          <w:rFonts w:hint="eastAsia" w:ascii="黑体" w:eastAsia="黑体"/>
          <w:b w:val="0"/>
          <w:color w:val="000000"/>
          <w:sz w:val="32"/>
          <w:szCs w:val="32"/>
          <w:highlight w:val="none"/>
          <w:lang w:val="en-US" w:eastAsia="zh-CN"/>
        </w:rPr>
        <w:t>2023</w:t>
      </w:r>
      <w:r>
        <w:rPr>
          <w:rStyle w:val="8"/>
          <w:rFonts w:hint="eastAsia" w:ascii="黑体" w:eastAsia="黑体"/>
          <w:b w:val="0"/>
          <w:color w:val="000000"/>
          <w:sz w:val="32"/>
          <w:szCs w:val="32"/>
          <w:highlight w:val="none"/>
        </w:rPr>
        <w:t>年</w:t>
      </w:r>
      <w:r>
        <w:rPr>
          <w:rStyle w:val="8"/>
          <w:rFonts w:hint="eastAsia" w:ascii="黑体" w:hAnsi="Calibri" w:eastAsia="黑体"/>
          <w:b w:val="0"/>
          <w:color w:val="000000"/>
          <w:sz w:val="32"/>
          <w:szCs w:val="32"/>
          <w:highlight w:val="none"/>
          <w:lang w:eastAsia="zh-CN"/>
        </w:rPr>
        <w:t>浙江省丽水中学</w:t>
      </w:r>
      <w:r>
        <w:rPr>
          <w:rStyle w:val="8"/>
          <w:rFonts w:hint="eastAsia" w:ascii="黑体" w:eastAsia="黑体"/>
          <w:b w:val="0"/>
          <w:color w:val="000000"/>
          <w:sz w:val="32"/>
          <w:szCs w:val="32"/>
          <w:highlight w:val="none"/>
          <w:lang w:eastAsia="zh-CN"/>
        </w:rPr>
        <w:t>单位</w:t>
      </w:r>
      <w:r>
        <w:rPr>
          <w:rStyle w:val="8"/>
          <w:rFonts w:hint="eastAsia" w:ascii="黑体" w:eastAsia="黑体"/>
          <w:b w:val="0"/>
          <w:color w:val="000000"/>
          <w:sz w:val="32"/>
          <w:szCs w:val="32"/>
          <w:highlight w:val="none"/>
        </w:rPr>
        <w:t>预算安排情况说明</w:t>
      </w:r>
      <w:r>
        <w:rPr>
          <w:rFonts w:hint="eastAsia"/>
          <w:color w:val="000000"/>
          <w:sz w:val="32"/>
          <w:szCs w:val="32"/>
          <w:highlight w:val="none"/>
        </w:rPr>
        <w:br w:type="textWrapping"/>
      </w:r>
      <w:r>
        <w:rPr>
          <w:rFonts w:hint="eastAsia" w:ascii="仿宋_GB2312" w:eastAsia="仿宋_GB2312"/>
          <w:b/>
          <w:bCs/>
          <w:color w:val="000000"/>
          <w:sz w:val="32"/>
          <w:szCs w:val="32"/>
          <w:highlight w:val="none"/>
        </w:rPr>
        <w:t>　　</w:t>
      </w:r>
      <w:r>
        <w:rPr>
          <w:rFonts w:hint="eastAsia" w:ascii="楷体_GB2312" w:hAnsi="楷体_GB2312" w:eastAsia="楷体_GB2312" w:cs="楷体_GB2312"/>
          <w:b w:val="0"/>
          <w:bCs w:val="0"/>
          <w:color w:val="000000"/>
          <w:sz w:val="32"/>
          <w:szCs w:val="32"/>
          <w:highlight w:val="none"/>
        </w:rPr>
        <w:t>（一）</w:t>
      </w:r>
      <w:r>
        <w:rPr>
          <w:rFonts w:hint="eastAsia" w:ascii="楷体_GB2312" w:hAnsi="楷体_GB2312" w:eastAsia="楷体_GB2312" w:cs="楷体_GB2312"/>
          <w:b w:val="0"/>
          <w:bCs w:val="0"/>
          <w:color w:val="000000"/>
          <w:sz w:val="32"/>
          <w:szCs w:val="32"/>
          <w:highlight w:val="none"/>
          <w:lang w:eastAsia="zh-CN"/>
        </w:rPr>
        <w:t>关于</w:t>
      </w:r>
      <w:r>
        <w:rPr>
          <w:rStyle w:val="8"/>
          <w:rFonts w:hint="eastAsia" w:ascii="楷体_GB2312" w:hAnsi="楷体_GB2312" w:eastAsia="楷体_GB2312" w:cs="楷体_GB2312"/>
          <w:b w:val="0"/>
          <w:bCs w:val="0"/>
          <w:color w:val="000000"/>
          <w:sz w:val="32"/>
          <w:szCs w:val="32"/>
          <w:highlight w:val="none"/>
          <w:lang w:eastAsia="zh-CN"/>
        </w:rPr>
        <w:t>浙江省丽水中学</w:t>
      </w:r>
      <w:r>
        <w:rPr>
          <w:rStyle w:val="8"/>
          <w:rFonts w:hint="eastAsia" w:ascii="楷体_GB2312" w:hAnsi="楷体_GB2312" w:eastAsia="楷体_GB2312" w:cs="楷体_GB2312"/>
          <w:b w:val="0"/>
          <w:bCs w:val="0"/>
          <w:color w:val="000000"/>
          <w:sz w:val="32"/>
          <w:szCs w:val="32"/>
          <w:highlight w:val="none"/>
          <w:lang w:val="en-US" w:eastAsia="zh-CN"/>
        </w:rPr>
        <w:t>2023</w:t>
      </w:r>
      <w:r>
        <w:rPr>
          <w:rStyle w:val="8"/>
          <w:rFonts w:hint="eastAsia" w:ascii="楷体_GB2312" w:hAnsi="楷体_GB2312" w:eastAsia="楷体_GB2312" w:cs="楷体_GB2312"/>
          <w:b w:val="0"/>
          <w:bCs w:val="0"/>
          <w:color w:val="000000"/>
          <w:sz w:val="32"/>
          <w:szCs w:val="32"/>
          <w:highlight w:val="none"/>
        </w:rPr>
        <w:t>年</w:t>
      </w:r>
      <w:r>
        <w:rPr>
          <w:rStyle w:val="8"/>
          <w:rFonts w:hint="eastAsia" w:ascii="楷体_GB2312" w:hAnsi="楷体_GB2312" w:eastAsia="楷体_GB2312" w:cs="楷体_GB2312"/>
          <w:b w:val="0"/>
          <w:bCs w:val="0"/>
          <w:color w:val="000000"/>
          <w:sz w:val="32"/>
          <w:szCs w:val="32"/>
          <w:highlight w:val="none"/>
          <w:lang w:eastAsia="zh-CN"/>
        </w:rPr>
        <w:t>收支预算情况的总体说明</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560" w:lineRule="exact"/>
        <w:ind w:right="0" w:rightChars="0" w:firstLine="321" w:firstLineChars="100"/>
        <w:jc w:val="both"/>
        <w:textAlignment w:val="auto"/>
        <w:outlineLvl w:val="9"/>
        <w:rPr>
          <w:rFonts w:hint="eastAsia" w:ascii="楷体_GB2312" w:hAnsi="楷体_GB2312" w:eastAsia="楷体_GB2312" w:cs="楷体_GB2312"/>
          <w:b/>
          <w:color w:val="auto"/>
          <w:sz w:val="32"/>
          <w:szCs w:val="32"/>
          <w:highlight w:val="none"/>
          <w:lang w:val="en-US"/>
        </w:rPr>
      </w:pPr>
      <w:r>
        <w:rPr>
          <w:rFonts w:hint="eastAsia" w:ascii="楷体_GB2312" w:hAnsi="楷体_GB2312" w:eastAsia="楷体_GB2312" w:cs="楷体_GB2312"/>
          <w:b/>
          <w:color w:val="000000"/>
          <w:sz w:val="32"/>
          <w:szCs w:val="32"/>
          <w:highlight w:val="none"/>
          <w:lang w:val="en-US" w:eastAsia="zh-CN"/>
        </w:rPr>
        <w:t xml:space="preserve"> </w:t>
      </w:r>
      <w:r>
        <w:rPr>
          <w:rFonts w:hint="eastAsia" w:ascii="仿宋_GB2312" w:hAnsi="Times New Roman" w:eastAsia="仿宋_GB2312" w:cs="Times New Roman"/>
          <w:b w:val="0"/>
          <w:bCs/>
          <w:color w:val="000000"/>
          <w:sz w:val="32"/>
          <w:szCs w:val="32"/>
          <w:highlight w:val="none"/>
          <w:lang w:val="en-US" w:eastAsia="zh-CN"/>
        </w:rPr>
        <w:t>按照</w:t>
      </w:r>
      <w:r>
        <w:rPr>
          <w:rFonts w:hint="eastAsia" w:ascii="仿宋_GB2312" w:eastAsia="仿宋_GB2312" w:cs="Times New Roman"/>
          <w:b w:val="0"/>
          <w:bCs/>
          <w:sz w:val="32"/>
          <w:szCs w:val="32"/>
          <w:highlight w:val="none"/>
          <w:lang w:val="en-US" w:eastAsia="zh-CN"/>
        </w:rPr>
        <w:t>综合预算的原则，</w:t>
      </w:r>
      <w:r>
        <w:rPr>
          <w:rFonts w:hint="eastAsia" w:ascii="仿宋_GB2312" w:eastAsia="仿宋_GB2312"/>
          <w:color w:val="000000"/>
          <w:sz w:val="32"/>
          <w:szCs w:val="32"/>
          <w:highlight w:val="none"/>
          <w:lang w:eastAsia="zh-CN"/>
        </w:rPr>
        <w:t>浙江省丽水中学所有收入和支出均纳入单位预算管理。收入包括：一般公共预算拨款收入、政府性基金预算收入</w:t>
      </w:r>
      <w:r>
        <w:rPr>
          <w:rFonts w:hint="eastAsia" w:ascii="仿宋_GB2312" w:eastAsia="仿宋_GB2312"/>
          <w:color w:val="000000"/>
          <w:sz w:val="32"/>
          <w:szCs w:val="32"/>
          <w:highlight w:val="none"/>
          <w:lang w:val="en-US" w:eastAsia="zh-CN"/>
        </w:rPr>
        <w:t>、财政专户管理</w:t>
      </w:r>
      <w:r>
        <w:rPr>
          <w:rFonts w:hint="eastAsia" w:ascii="仿宋_GB2312" w:eastAsia="仿宋_GB2312"/>
          <w:color w:val="000000"/>
          <w:sz w:val="32"/>
          <w:szCs w:val="32"/>
          <w:highlight w:val="none"/>
          <w:lang w:eastAsia="zh-CN"/>
        </w:rPr>
        <w:t>资金收入；支出包括：教育支出、社会保障和就业支出、卫生健康支出、城乡社区支出。浙江省丽水中学</w:t>
      </w:r>
      <w:r>
        <w:rPr>
          <w:rFonts w:hint="eastAsia" w:ascii="仿宋_GB2312" w:eastAsia="仿宋_GB2312"/>
          <w:color w:val="000000"/>
          <w:sz w:val="32"/>
          <w:szCs w:val="32"/>
          <w:highlight w:val="none"/>
          <w:lang w:val="en-US" w:eastAsia="zh-CN"/>
        </w:rPr>
        <w:t>2023年收支总预算</w:t>
      </w:r>
      <w:r>
        <w:rPr>
          <w:rFonts w:hint="eastAsia" w:ascii="仿宋_GB2312" w:eastAsia="仿宋_GB2312"/>
          <w:color w:val="000000"/>
          <w:sz w:val="32"/>
          <w:szCs w:val="32"/>
          <w:highlight w:val="none"/>
        </w:rPr>
        <w:t>12149.4</w:t>
      </w:r>
      <w:r>
        <w:rPr>
          <w:rFonts w:hint="eastAsia" w:ascii="仿宋_GB2312" w:eastAsia="仿宋_GB2312"/>
          <w:color w:val="000000"/>
          <w:sz w:val="32"/>
          <w:szCs w:val="32"/>
          <w:highlight w:val="none"/>
          <w:lang w:val="en-US" w:eastAsia="zh-CN"/>
        </w:rPr>
        <w:t>4万元</w:t>
      </w:r>
      <w:r>
        <w:rPr>
          <w:rFonts w:hint="eastAsia" w:ascii="仿宋_GB2312" w:eastAsia="仿宋_GB2312"/>
          <w:color w:val="auto"/>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（二）</w:t>
      </w:r>
      <w:r>
        <w:rPr>
          <w:rFonts w:hint="eastAsia" w:ascii="楷体_GB2312" w:hAnsi="楷体_GB2312" w:eastAsia="楷体_GB2312" w:cs="楷体_GB2312"/>
          <w:b w:val="0"/>
          <w:bCs/>
          <w:color w:val="000000"/>
          <w:sz w:val="32"/>
          <w:szCs w:val="32"/>
          <w:highlight w:val="none"/>
          <w:lang w:eastAsia="zh-CN"/>
        </w:rPr>
        <w:t>关于浙江省丽水中学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年收入预算</w:t>
      </w:r>
      <w:r>
        <w:rPr>
          <w:rFonts w:hint="eastAsia" w:ascii="楷体_GB2312" w:hAnsi="楷体_GB2312" w:eastAsia="楷体_GB2312" w:cs="楷体_GB2312"/>
          <w:b w:val="0"/>
          <w:bCs/>
          <w:color w:val="000000"/>
          <w:sz w:val="32"/>
          <w:szCs w:val="32"/>
          <w:highlight w:val="none"/>
          <w:lang w:eastAsia="zh-CN"/>
        </w:rPr>
        <w:t>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浙江省丽水中学</w:t>
      </w:r>
      <w:r>
        <w:rPr>
          <w:rFonts w:hint="eastAsia"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rPr>
        <w:t>年收入预算12149.4</w:t>
      </w:r>
      <w:r>
        <w:rPr>
          <w:rFonts w:hint="eastAsia" w:ascii="仿宋_GB2312" w:hAnsi="仿宋_GB2312" w:eastAsia="仿宋_GB2312"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比上年执行数增加</w:t>
      </w:r>
      <w:r>
        <w:rPr>
          <w:rFonts w:hint="eastAsia" w:ascii="仿宋_GB2312" w:hAnsi="仿宋_GB2312" w:eastAsia="仿宋_GB2312" w:cs="仿宋_GB2312"/>
          <w:color w:val="000000"/>
          <w:sz w:val="32"/>
          <w:szCs w:val="32"/>
          <w:highlight w:val="none"/>
          <w:lang w:val="en-US" w:eastAsia="zh-CN"/>
        </w:rPr>
        <w:t>1652.28万元，</w:t>
      </w:r>
      <w:r>
        <w:rPr>
          <w:rFonts w:hint="eastAsia" w:ascii="仿宋_GB2312" w:hAnsi="仿宋_GB2312" w:eastAsia="仿宋_GB2312" w:cs="仿宋_GB2312"/>
          <w:color w:val="000000"/>
          <w:sz w:val="32"/>
          <w:highlight w:val="none"/>
        </w:rPr>
        <w:t>增</w:t>
      </w:r>
      <w:r>
        <w:rPr>
          <w:rFonts w:hint="eastAsia" w:ascii="仿宋_GB2312" w:hAnsi="仿宋_GB2312" w:eastAsia="仿宋_GB2312" w:cs="仿宋_GB2312"/>
          <w:color w:val="000000"/>
          <w:sz w:val="32"/>
          <w:szCs w:val="32"/>
          <w:highlight w:val="none"/>
          <w:lang w:val="en-US" w:eastAsia="zh-CN"/>
        </w:rPr>
        <w:t>长15.7</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主要是莲城书院新建工程2023年有预算安排。</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其中：</w:t>
      </w:r>
      <w:r>
        <w:rPr>
          <w:rFonts w:hint="eastAsia" w:ascii="仿宋_GB2312" w:eastAsia="仿宋_GB2312"/>
          <w:color w:val="000000"/>
          <w:sz w:val="32"/>
          <w:szCs w:val="32"/>
          <w:highlight w:val="none"/>
          <w:lang w:eastAsia="zh-CN"/>
        </w:rPr>
        <w:t>一般公共预算拨款收入</w:t>
      </w:r>
      <w:r>
        <w:rPr>
          <w:rFonts w:hint="eastAsia" w:ascii="仿宋_GB2312" w:eastAsia="仿宋_GB2312"/>
          <w:color w:val="000000"/>
          <w:sz w:val="32"/>
          <w:szCs w:val="32"/>
          <w:highlight w:val="none"/>
          <w:lang w:val="en-US" w:eastAsia="zh-CN"/>
        </w:rPr>
        <w:t>8602.44</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70.8</w:t>
      </w:r>
      <w:r>
        <w:rPr>
          <w:rFonts w:hint="eastAsia" w:ascii="仿宋_GB2312" w:eastAsia="仿宋_GB2312"/>
          <w:color w:val="000000"/>
          <w:sz w:val="32"/>
          <w:szCs w:val="32"/>
          <w:highlight w:val="none"/>
          <w:lang w:eastAsia="zh-CN"/>
        </w:rPr>
        <w:t>%；政府性基金收入</w:t>
      </w:r>
      <w:r>
        <w:rPr>
          <w:rFonts w:hint="eastAsia" w:ascii="仿宋_GB2312" w:eastAsia="仿宋_GB2312"/>
          <w:color w:val="000000"/>
          <w:sz w:val="32"/>
          <w:szCs w:val="32"/>
          <w:highlight w:val="none"/>
          <w:lang w:val="en-US" w:eastAsia="zh-CN"/>
        </w:rPr>
        <w:t>2752</w:t>
      </w:r>
      <w:r>
        <w:rPr>
          <w:rFonts w:hint="eastAsia" w:ascii="仿宋_GB2312" w:eastAsia="仿宋_GB2312"/>
          <w:color w:val="000000"/>
          <w:sz w:val="32"/>
          <w:szCs w:val="32"/>
          <w:highlight w:val="none"/>
          <w:lang w:eastAsia="zh-CN"/>
        </w:rPr>
        <w:t>万元，占</w:t>
      </w:r>
      <w:r>
        <w:rPr>
          <w:rFonts w:hint="eastAsia" w:ascii="仿宋_GB2312" w:eastAsia="仿宋_GB2312"/>
          <w:color w:val="000000"/>
          <w:sz w:val="32"/>
          <w:szCs w:val="32"/>
          <w:highlight w:val="none"/>
          <w:lang w:val="en-US" w:eastAsia="zh-CN"/>
        </w:rPr>
        <w:t>22.7</w:t>
      </w:r>
      <w:r>
        <w:rPr>
          <w:rFonts w:hint="eastAsia" w:ascii="仿宋_GB2312" w:eastAsia="仿宋_GB2312"/>
          <w:color w:val="000000"/>
          <w:sz w:val="32"/>
          <w:szCs w:val="32"/>
          <w:highlight w:val="none"/>
          <w:lang w:eastAsia="zh-CN"/>
        </w:rPr>
        <w:t>%；专户资金</w:t>
      </w:r>
      <w:r>
        <w:rPr>
          <w:rFonts w:hint="eastAsia" w:ascii="仿宋_GB2312" w:eastAsia="仿宋_GB2312"/>
          <w:color w:val="000000"/>
          <w:sz w:val="32"/>
          <w:szCs w:val="32"/>
          <w:highlight w:val="none"/>
          <w:lang w:val="en-US" w:eastAsia="zh-CN"/>
        </w:rPr>
        <w:t>795</w:t>
      </w:r>
      <w:r>
        <w:rPr>
          <w:rFonts w:hint="eastAsia" w:ascii="仿宋_GB2312" w:eastAsia="仿宋_GB2312"/>
          <w:color w:val="000000"/>
          <w:sz w:val="32"/>
          <w:szCs w:val="32"/>
          <w:highlight w:val="none"/>
        </w:rPr>
        <w:t>万元，占</w:t>
      </w:r>
      <w:r>
        <w:rPr>
          <w:rFonts w:hint="eastAsia" w:ascii="仿宋_GB2312" w:eastAsia="仿宋_GB2312"/>
          <w:color w:val="000000"/>
          <w:sz w:val="32"/>
          <w:szCs w:val="32"/>
          <w:highlight w:val="none"/>
          <w:lang w:val="en-US" w:eastAsia="zh-CN"/>
        </w:rPr>
        <w:t>6.5</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rPr>
        <w:br w:type="textWrapping"/>
      </w:r>
      <w:r>
        <w:rPr>
          <w:rFonts w:hint="eastAsia" w:ascii="楷体_GB2312" w:hAnsi="楷体_GB2312" w:eastAsia="楷体_GB2312" w:cs="楷体_GB2312"/>
          <w:b w:val="0"/>
          <w:bCs/>
          <w:color w:val="000000"/>
          <w:sz w:val="32"/>
          <w:szCs w:val="32"/>
          <w:highlight w:val="none"/>
        </w:rPr>
        <w:t>　　（</w:t>
      </w:r>
      <w:r>
        <w:rPr>
          <w:rFonts w:hint="eastAsia" w:ascii="楷体_GB2312" w:hAnsi="楷体_GB2312" w:eastAsia="楷体_GB2312" w:cs="楷体_GB2312"/>
          <w:b w:val="0"/>
          <w:bCs/>
          <w:color w:val="000000"/>
          <w:sz w:val="32"/>
          <w:szCs w:val="32"/>
          <w:highlight w:val="none"/>
          <w:lang w:eastAsia="zh-CN"/>
        </w:rPr>
        <w:t>三</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关于浙江省丽水中学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年支出预算</w:t>
      </w:r>
      <w:r>
        <w:rPr>
          <w:rFonts w:hint="eastAsia" w:ascii="楷体_GB2312" w:hAnsi="楷体_GB2312" w:eastAsia="楷体_GB2312" w:cs="楷体_GB2312"/>
          <w:b w:val="0"/>
          <w:bCs/>
          <w:color w:val="000000"/>
          <w:sz w:val="32"/>
          <w:szCs w:val="32"/>
          <w:highlight w:val="none"/>
          <w:lang w:eastAsia="zh-CN"/>
        </w:rPr>
        <w:t>情况说明</w:t>
      </w:r>
      <w:r>
        <w:rPr>
          <w:rFonts w:hint="eastAsia" w:ascii="楷体_GB2312" w:hAnsi="楷体_GB2312" w:eastAsia="楷体_GB2312" w:cs="楷体_GB2312"/>
          <w:bCs/>
          <w:color w:val="000000"/>
          <w:sz w:val="32"/>
          <w:szCs w:val="32"/>
          <w:highlight w:val="none"/>
        </w:rPr>
        <w:br w:type="textWrapping"/>
      </w:r>
      <w:r>
        <w:rPr>
          <w:rFonts w:hint="eastAsia" w:ascii="仿宋_GB2312" w:eastAsia="仿宋_GB2312"/>
          <w:color w:val="000000"/>
          <w:sz w:val="32"/>
          <w:szCs w:val="32"/>
          <w:highlight w:val="none"/>
        </w:rPr>
        <w:t>　</w:t>
      </w:r>
      <w:r>
        <w:rPr>
          <w:rFonts w:hint="eastAsia" w:ascii="仿宋_GB2312" w:hAnsi="仿宋_GB2312" w:eastAsia="仿宋_GB2312" w:cs="仿宋_GB2312"/>
          <w:color w:val="000000"/>
          <w:sz w:val="32"/>
          <w:szCs w:val="32"/>
          <w:highlight w:val="none"/>
        </w:rPr>
        <w:t>　</w:t>
      </w:r>
      <w:r>
        <w:rPr>
          <w:rFonts w:hint="eastAsia" w:ascii="仿宋_GB2312" w:hAnsi="仿宋_GB2312" w:eastAsia="仿宋_GB2312" w:cs="仿宋_GB2312"/>
          <w:color w:val="000000"/>
          <w:sz w:val="32"/>
          <w:szCs w:val="32"/>
          <w:highlight w:val="none"/>
          <w:lang w:eastAsia="zh-CN"/>
        </w:rPr>
        <w:t>浙江省丽水中学</w:t>
      </w:r>
      <w:r>
        <w:rPr>
          <w:rFonts w:hint="eastAsia"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rPr>
        <w:t>年支出预算12149.4</w:t>
      </w:r>
      <w:r>
        <w:rPr>
          <w:rFonts w:hint="eastAsia" w:ascii="仿宋_GB2312" w:hAnsi="仿宋_GB2312" w:eastAsia="仿宋_GB2312"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w:t>
      </w:r>
      <w:r>
        <w:rPr>
          <w:rFonts w:hint="eastAsia" w:ascii="仿宋_GB2312" w:hAnsi="仿宋_GB2312" w:eastAsia="仿宋_GB2312" w:cs="仿宋_GB2312"/>
          <w:color w:val="000000"/>
          <w:sz w:val="32"/>
          <w:szCs w:val="32"/>
          <w:highlight w:val="none"/>
          <w:lang w:val="en-US" w:eastAsia="zh-CN"/>
        </w:rPr>
        <w:t>减</w:t>
      </w:r>
      <w:r>
        <w:rPr>
          <w:rFonts w:hint="eastAsia" w:ascii="仿宋_GB2312" w:hAnsi="仿宋_GB2312" w:eastAsia="仿宋_GB2312" w:cs="仿宋_GB2312"/>
          <w:color w:val="000000"/>
          <w:sz w:val="32"/>
          <w:szCs w:val="32"/>
          <w:highlight w:val="none"/>
          <w:lang w:eastAsia="zh-CN"/>
        </w:rPr>
        <w:t>少</w:t>
      </w:r>
      <w:r>
        <w:rPr>
          <w:rFonts w:hint="eastAsia" w:ascii="仿宋_GB2312" w:hAnsi="仿宋_GB2312" w:eastAsia="仿宋_GB2312" w:cs="仿宋_GB2312"/>
          <w:color w:val="000000"/>
          <w:sz w:val="32"/>
          <w:szCs w:val="32"/>
          <w:highlight w:val="none"/>
          <w:lang w:val="en-US" w:eastAsia="zh-CN"/>
        </w:rPr>
        <w:t>3815.72万元，</w:t>
      </w:r>
      <w:r>
        <w:rPr>
          <w:rFonts w:hint="eastAsia" w:ascii="仿宋_GB2312" w:hAnsi="仿宋_GB2312" w:eastAsia="仿宋_GB2312" w:cs="仿宋_GB2312"/>
          <w:color w:val="000000"/>
          <w:sz w:val="32"/>
          <w:highlight w:val="none"/>
        </w:rPr>
        <w:t>下降</w:t>
      </w:r>
      <w:r>
        <w:rPr>
          <w:rFonts w:hint="eastAsia" w:ascii="仿宋_GB2312" w:hAnsi="仿宋_GB2312" w:eastAsia="仿宋_GB2312" w:cs="仿宋_GB2312"/>
          <w:color w:val="000000"/>
          <w:sz w:val="32"/>
          <w:highlight w:val="none"/>
          <w:lang w:val="en-US" w:eastAsia="zh-CN"/>
        </w:rPr>
        <w:t>23.9</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主要是莲城书院新建工程2023年支出减少。</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30"/>
        <w:textAlignment w:val="auto"/>
        <w:outlineLvl w:val="9"/>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1.按支出功能分类，包括</w:t>
      </w:r>
      <w:r>
        <w:rPr>
          <w:rFonts w:hint="eastAsia" w:ascii="仿宋_GB2312" w:eastAsia="仿宋_GB2312"/>
          <w:color w:val="000000"/>
          <w:sz w:val="32"/>
          <w:szCs w:val="32"/>
          <w:highlight w:val="none"/>
          <w:lang w:eastAsia="zh-CN"/>
        </w:rPr>
        <w:t>教育支出</w:t>
      </w:r>
      <w:r>
        <w:rPr>
          <w:rFonts w:hint="eastAsia" w:ascii="仿宋_GB2312" w:eastAsia="仿宋_GB2312"/>
          <w:color w:val="000000"/>
          <w:sz w:val="32"/>
          <w:szCs w:val="32"/>
          <w:highlight w:val="none"/>
          <w:lang w:val="en-US" w:eastAsia="zh-CN"/>
        </w:rPr>
        <w:t>8215.01</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、社会保障和就业支出</w:t>
      </w:r>
      <w:r>
        <w:rPr>
          <w:rFonts w:hint="eastAsia" w:ascii="仿宋_GB2312" w:eastAsia="仿宋_GB2312"/>
          <w:color w:val="000000"/>
          <w:sz w:val="32"/>
          <w:szCs w:val="32"/>
          <w:highlight w:val="none"/>
          <w:lang w:val="en-US" w:eastAsia="zh-CN"/>
        </w:rPr>
        <w:t>679.64</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、卫生健康支出</w:t>
      </w:r>
      <w:r>
        <w:rPr>
          <w:rFonts w:hint="eastAsia" w:ascii="仿宋_GB2312" w:eastAsia="仿宋_GB2312"/>
          <w:color w:val="000000"/>
          <w:sz w:val="32"/>
          <w:szCs w:val="32"/>
          <w:highlight w:val="none"/>
          <w:lang w:val="en-US" w:eastAsia="zh-CN"/>
        </w:rPr>
        <w:t>502.79</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、城乡社区支出</w:t>
      </w:r>
      <w:r>
        <w:rPr>
          <w:rFonts w:hint="eastAsia" w:ascii="仿宋_GB2312" w:eastAsia="仿宋_GB2312"/>
          <w:color w:val="000000"/>
          <w:sz w:val="32"/>
          <w:szCs w:val="32"/>
          <w:highlight w:val="none"/>
          <w:lang w:val="en-US" w:eastAsia="zh-CN"/>
        </w:rPr>
        <w:t>2752</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2.按支出用途分类，</w:t>
      </w:r>
      <w:r>
        <w:rPr>
          <w:rFonts w:hint="eastAsia" w:ascii="仿宋_GB2312" w:eastAsia="仿宋_GB2312"/>
          <w:color w:val="000000"/>
          <w:sz w:val="32"/>
          <w:szCs w:val="32"/>
          <w:highlight w:val="none"/>
          <w:lang w:eastAsia="zh-CN"/>
        </w:rPr>
        <w:t>包括人员</w:t>
      </w:r>
      <w:r>
        <w:rPr>
          <w:rFonts w:hint="eastAsia" w:ascii="仿宋_GB2312" w:eastAsia="仿宋_GB2312"/>
          <w:color w:val="000000"/>
          <w:sz w:val="32"/>
          <w:szCs w:val="32"/>
          <w:highlight w:val="none"/>
        </w:rPr>
        <w:t>支出</w:t>
      </w:r>
      <w:r>
        <w:rPr>
          <w:rFonts w:hint="eastAsia" w:ascii="仿宋_GB2312" w:eastAsia="仿宋_GB2312"/>
          <w:color w:val="000000"/>
          <w:sz w:val="32"/>
          <w:szCs w:val="32"/>
          <w:highlight w:val="none"/>
          <w:lang w:val="en-US" w:eastAsia="zh-CN"/>
        </w:rPr>
        <w:t>7037.28</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58</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；日常公用支出</w:t>
      </w:r>
      <w:r>
        <w:rPr>
          <w:rFonts w:hint="eastAsia" w:ascii="仿宋_GB2312" w:eastAsia="仿宋_GB2312"/>
          <w:color w:val="000000"/>
          <w:sz w:val="32"/>
          <w:szCs w:val="32"/>
          <w:highlight w:val="none"/>
          <w:lang w:val="en-US" w:eastAsia="zh-CN"/>
        </w:rPr>
        <w:t>648.16</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5.3</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项目支出</w:t>
      </w:r>
      <w:r>
        <w:rPr>
          <w:rFonts w:hint="eastAsia" w:ascii="仿宋_GB2312" w:eastAsia="仿宋_GB2312"/>
          <w:color w:val="000000"/>
          <w:sz w:val="32"/>
          <w:szCs w:val="32"/>
          <w:highlight w:val="none"/>
          <w:lang w:val="en-US" w:eastAsia="zh-CN"/>
        </w:rPr>
        <w:t>4464.01</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val="en-US" w:eastAsia="zh-CN"/>
        </w:rPr>
        <w:t>36.7</w:t>
      </w:r>
      <w:r>
        <w:rPr>
          <w:rFonts w:hint="eastAsia" w:ascii="仿宋_GB2312" w:eastAsia="仿宋_GB2312"/>
          <w:color w:val="000000"/>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结转下年</w:t>
      </w:r>
      <w:r>
        <w:rPr>
          <w:rFonts w:hint="eastAsia" w:ascii="仿宋_GB2312" w:eastAsia="仿宋_GB2312"/>
          <w:color w:val="000000"/>
          <w:sz w:val="32"/>
          <w:szCs w:val="32"/>
          <w:highlight w:val="none"/>
          <w:lang w:val="en-US" w:eastAsia="zh-CN"/>
        </w:rPr>
        <w:t>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rPr>
      </w:pP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四</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关于浙江省丽水中学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年财政拨款</w:t>
      </w:r>
      <w:r>
        <w:rPr>
          <w:rFonts w:hint="eastAsia" w:ascii="楷体_GB2312" w:hAnsi="楷体_GB2312" w:eastAsia="楷体_GB2312" w:cs="楷体_GB2312"/>
          <w:b w:val="0"/>
          <w:bCs/>
          <w:color w:val="000000"/>
          <w:sz w:val="32"/>
          <w:szCs w:val="32"/>
          <w:highlight w:val="none"/>
          <w:lang w:eastAsia="zh-CN"/>
        </w:rPr>
        <w:t>收支预算情况的总体说明</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eastAsia="zh-CN"/>
        </w:rPr>
        <w:t>浙江省丽水中学</w:t>
      </w:r>
      <w:r>
        <w:rPr>
          <w:rFonts w:hint="eastAsia" w:ascii="仿宋_GB2312" w:eastAsia="仿宋_GB2312"/>
          <w:color w:val="000000"/>
          <w:sz w:val="32"/>
          <w:szCs w:val="32"/>
          <w:highlight w:val="none"/>
          <w:lang w:val="en-US" w:eastAsia="zh-CN"/>
        </w:rPr>
        <w:t>2023年财政拨款收支总预算11354.44万元。收入包括：一般公共预算8602.44万元、政府性基金2752万元；支出包括：</w:t>
      </w:r>
      <w:r>
        <w:rPr>
          <w:rFonts w:hint="eastAsia" w:ascii="仿宋_GB2312" w:eastAsia="仿宋_GB2312"/>
          <w:color w:val="000000"/>
          <w:sz w:val="32"/>
          <w:szCs w:val="32"/>
          <w:highlight w:val="none"/>
          <w:lang w:eastAsia="zh-CN"/>
        </w:rPr>
        <w:t>教育支出</w:t>
      </w:r>
      <w:r>
        <w:rPr>
          <w:rFonts w:hint="eastAsia" w:ascii="仿宋_GB2312" w:eastAsia="仿宋_GB2312"/>
          <w:color w:val="000000"/>
          <w:sz w:val="32"/>
          <w:szCs w:val="32"/>
          <w:highlight w:val="none"/>
          <w:lang w:val="en-US" w:eastAsia="zh-CN"/>
        </w:rPr>
        <w:t>7420.01</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、社会保障和就业支出</w:t>
      </w:r>
      <w:r>
        <w:rPr>
          <w:rFonts w:hint="eastAsia" w:ascii="仿宋_GB2312" w:eastAsia="仿宋_GB2312"/>
          <w:color w:val="000000"/>
          <w:sz w:val="32"/>
          <w:szCs w:val="32"/>
          <w:highlight w:val="none"/>
          <w:lang w:val="en-US" w:eastAsia="zh-CN"/>
        </w:rPr>
        <w:t>679.64</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、卫生健康支出</w:t>
      </w:r>
      <w:r>
        <w:rPr>
          <w:rFonts w:hint="eastAsia" w:ascii="仿宋_GB2312" w:eastAsia="仿宋_GB2312"/>
          <w:color w:val="000000"/>
          <w:sz w:val="32"/>
          <w:szCs w:val="32"/>
          <w:highlight w:val="none"/>
          <w:lang w:val="en-US" w:eastAsia="zh-CN"/>
        </w:rPr>
        <w:t>502.79</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、城乡社区支出</w:t>
      </w:r>
      <w:r>
        <w:rPr>
          <w:rFonts w:hint="eastAsia" w:ascii="仿宋_GB2312" w:eastAsia="仿宋_GB2312"/>
          <w:color w:val="000000"/>
          <w:sz w:val="32"/>
          <w:szCs w:val="32"/>
          <w:highlight w:val="none"/>
          <w:lang w:val="en-US" w:eastAsia="zh-CN"/>
        </w:rPr>
        <w:t>2752</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val="en-US" w:eastAsia="zh-CN"/>
        </w:rPr>
        <w:t>。</w:t>
      </w:r>
    </w:p>
    <w:p>
      <w:pPr>
        <w:keepNext w:val="0"/>
        <w:keepLines w:val="0"/>
        <w:pageBreakBefore w:val="0"/>
        <w:numPr>
          <w:ilvl w:val="0"/>
          <w:numId w:val="1"/>
        </w:numPr>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关于浙江省丽水中学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一般公共预算当年拨款情况说明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1.一般公共预算当年拨款规模变化情况。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浙江省丽水中学</w:t>
      </w:r>
      <w:r>
        <w:rPr>
          <w:rFonts w:hint="eastAsia" w:ascii="仿宋_GB2312" w:hAnsi="仿宋_GB2312" w:eastAsia="仿宋_GB2312" w:cs="仿宋_GB2312"/>
          <w:color w:val="000000"/>
          <w:sz w:val="32"/>
          <w:szCs w:val="32"/>
          <w:highlight w:val="none"/>
          <w:lang w:val="en-US" w:eastAsia="zh-CN"/>
        </w:rPr>
        <w:t>2023年一般公共预算当年拨款</w:t>
      </w:r>
      <w:r>
        <w:rPr>
          <w:rFonts w:hint="eastAsia" w:ascii="仿宋_GB2312" w:eastAsia="仿宋_GB2312"/>
          <w:color w:val="000000"/>
          <w:sz w:val="32"/>
          <w:szCs w:val="32"/>
          <w:highlight w:val="none"/>
          <w:lang w:val="en-US" w:eastAsia="zh-CN"/>
        </w:rPr>
        <w:t>8602.44</w:t>
      </w:r>
      <w:r>
        <w:rPr>
          <w:rFonts w:hint="eastAsia" w:ascii="仿宋_GB2312" w:hAnsi="仿宋_GB2312" w:eastAsia="仿宋_GB2312" w:cs="仿宋_GB2312"/>
          <w:color w:val="000000"/>
          <w:sz w:val="32"/>
          <w:szCs w:val="32"/>
          <w:highlight w:val="none"/>
          <w:lang w:val="en-US" w:eastAsia="zh-CN"/>
        </w:rPr>
        <w:t>万元，比上年执行数减少43.88万元，下</w:t>
      </w:r>
      <w:r>
        <w:rPr>
          <w:rFonts w:hint="eastAsia" w:ascii="仿宋_GB2312" w:hAnsi="仿宋_GB2312" w:eastAsia="仿宋_GB2312" w:cs="仿宋_GB2312"/>
          <w:color w:val="000000"/>
          <w:sz w:val="32"/>
          <w:highlight w:val="none"/>
        </w:rPr>
        <w:t>降</w:t>
      </w:r>
      <w:r>
        <w:rPr>
          <w:rFonts w:hint="eastAsia" w:ascii="仿宋_GB2312" w:hAnsi="仿宋_GB2312" w:eastAsia="仿宋_GB2312" w:cs="仿宋_GB2312"/>
          <w:color w:val="000000"/>
          <w:sz w:val="32"/>
          <w:highlight w:val="none"/>
          <w:lang w:val="en-US" w:eastAsia="zh-CN"/>
        </w:rPr>
        <w:t>0.5</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主要是2023年项目安排减少</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2.一般公共预算当年拨款结构情况。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教育（类）支出</w:t>
      </w:r>
      <w:r>
        <w:rPr>
          <w:rFonts w:hint="eastAsia" w:ascii="仿宋_GB2312" w:hAnsi="仿宋_GB2312" w:eastAsia="仿宋_GB2312" w:cs="仿宋_GB2312"/>
          <w:color w:val="000000"/>
          <w:sz w:val="32"/>
          <w:szCs w:val="32"/>
          <w:highlight w:val="none"/>
          <w:lang w:val="en-US" w:eastAsia="zh-CN"/>
        </w:rPr>
        <w:t>7420.01</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86.3</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；社会保障和业（类）支出</w:t>
      </w:r>
      <w:r>
        <w:rPr>
          <w:rFonts w:hint="eastAsia" w:ascii="仿宋_GB2312" w:hAnsi="仿宋_GB2312" w:eastAsia="仿宋_GB2312" w:cs="仿宋_GB2312"/>
          <w:color w:val="000000"/>
          <w:sz w:val="32"/>
          <w:szCs w:val="32"/>
          <w:highlight w:val="none"/>
          <w:lang w:val="en-US" w:eastAsia="zh-CN"/>
        </w:rPr>
        <w:t>679.64</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7.9</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；卫生健康（类）支出</w:t>
      </w:r>
      <w:r>
        <w:rPr>
          <w:rFonts w:hint="eastAsia" w:ascii="仿宋_GB2312" w:hAnsi="仿宋_GB2312" w:eastAsia="仿宋_GB2312" w:cs="仿宋_GB2312"/>
          <w:color w:val="000000"/>
          <w:sz w:val="32"/>
          <w:szCs w:val="32"/>
          <w:highlight w:val="none"/>
          <w:lang w:val="en-US" w:eastAsia="zh-CN"/>
        </w:rPr>
        <w:t>502.79</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val="en-US" w:eastAsia="zh-CN"/>
        </w:rPr>
        <w:t>5.8</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lang w:val="en-US" w:eastAsia="zh-CN"/>
        </w:rPr>
        <w:t>3.一般公共预算当年拨款具体</w:t>
      </w:r>
      <w:bookmarkStart w:id="0" w:name="_GoBack"/>
      <w:bookmarkEnd w:id="0"/>
      <w:r>
        <w:rPr>
          <w:rFonts w:hint="eastAsia" w:ascii="仿宋_GB2312" w:hAnsi="仿宋_GB2312" w:eastAsia="仿宋_GB2312" w:cs="仿宋_GB2312"/>
          <w:b/>
          <w:color w:val="000000"/>
          <w:sz w:val="32"/>
          <w:szCs w:val="32"/>
          <w:highlight w:val="none"/>
          <w:lang w:val="en-US" w:eastAsia="zh-CN"/>
        </w:rPr>
        <w:t>使用情况。</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color w:val="000000"/>
          <w:sz w:val="32"/>
          <w:szCs w:val="32"/>
        </w:rPr>
      </w:pPr>
      <w:r>
        <w:rPr>
          <w:rFonts w:hint="eastAsia" w:ascii="仿宋_GB2312" w:eastAsia="仿宋_GB2312"/>
          <w:color w:val="000000"/>
          <w:sz w:val="32"/>
          <w:szCs w:val="32"/>
        </w:rPr>
        <w:t>（1）教育支出（类）普通教育（款）高中教育（项）</w:t>
      </w:r>
      <w:r>
        <w:rPr>
          <w:rFonts w:hint="eastAsia" w:ascii="仿宋_GB2312" w:eastAsia="仿宋_GB2312"/>
          <w:color w:val="000000"/>
          <w:sz w:val="32"/>
          <w:szCs w:val="32"/>
          <w:lang w:val="en-US" w:eastAsia="zh-CN"/>
        </w:rPr>
        <w:t>7420.01</w:t>
      </w:r>
      <w:r>
        <w:rPr>
          <w:rFonts w:hint="eastAsia" w:ascii="仿宋_GB2312" w:eastAsia="仿宋_GB2312"/>
          <w:color w:val="000000"/>
          <w:sz w:val="32"/>
          <w:szCs w:val="32"/>
        </w:rPr>
        <w:t>万元，主要用于人员经费支出、公用经费支出、设备购置（市政府强校政策）、教师培训（市政府强校政策）支出</w:t>
      </w:r>
      <w:r>
        <w:rPr>
          <w:rFonts w:hint="eastAsia" w:ascii="仿宋_GB2312" w:eastAsia="仿宋_GB2312"/>
          <w:color w:val="000000"/>
          <w:sz w:val="32"/>
          <w:szCs w:val="32"/>
          <w:lang w:eastAsia="zh-CN"/>
        </w:rPr>
        <w:t>、创新班和学科竞赛、校园安保经费、教师培训经费、市本级公办学校办学质量评价奖励 (教育提质)</w:t>
      </w:r>
      <w:r>
        <w:rPr>
          <w:rFonts w:hint="eastAsia" w:ascii="仿宋_GB2312" w:eastAsia="仿宋_GB2312"/>
          <w:color w:val="000000"/>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2</w:t>
      </w:r>
      <w:r>
        <w:rPr>
          <w:rFonts w:hint="eastAsia" w:ascii="仿宋_GB2312" w:hAnsi="仿宋_GB2312" w:eastAsia="仿宋_GB2312" w:cs="仿宋_GB2312"/>
          <w:color w:val="000000"/>
          <w:sz w:val="32"/>
          <w:szCs w:val="32"/>
          <w:highlight w:val="none"/>
          <w:lang w:eastAsia="zh-CN"/>
        </w:rPr>
        <w:t>）</w:t>
      </w:r>
      <w:r>
        <w:rPr>
          <w:rFonts w:hint="eastAsia" w:ascii="仿宋_GB2312" w:eastAsia="仿宋_GB2312"/>
          <w:color w:val="000000"/>
          <w:sz w:val="32"/>
          <w:szCs w:val="32"/>
        </w:rPr>
        <w:t>社会保障和就业支出（类）行政事业单位养老支出（款）机关事业单位基本养老保险缴费支出（项）</w:t>
      </w:r>
      <w:r>
        <w:rPr>
          <w:rFonts w:hint="eastAsia" w:ascii="仿宋_GB2312" w:eastAsia="仿宋_GB2312"/>
          <w:color w:val="000000"/>
          <w:sz w:val="32"/>
          <w:szCs w:val="32"/>
          <w:lang w:val="en-US" w:eastAsia="zh-CN"/>
        </w:rPr>
        <w:t>418.54</w:t>
      </w:r>
      <w:r>
        <w:rPr>
          <w:rFonts w:hint="eastAsia" w:ascii="仿宋_GB2312" w:eastAsia="仿宋_GB2312"/>
          <w:color w:val="000000"/>
          <w:sz w:val="32"/>
          <w:szCs w:val="32"/>
        </w:rPr>
        <w:t>万元，主要用于基本养老保险缴费支出。</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000000"/>
          <w:sz w:val="32"/>
          <w:szCs w:val="32"/>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3</w:t>
      </w:r>
      <w:r>
        <w:rPr>
          <w:rFonts w:hint="eastAsia" w:ascii="仿宋_GB2312" w:hAnsi="仿宋_GB2312" w:eastAsia="仿宋_GB2312" w:cs="仿宋_GB2312"/>
          <w:color w:val="000000"/>
          <w:sz w:val="32"/>
          <w:szCs w:val="32"/>
          <w:highlight w:val="none"/>
          <w:lang w:eastAsia="zh-CN"/>
        </w:rPr>
        <w:t>）</w:t>
      </w:r>
      <w:r>
        <w:rPr>
          <w:rFonts w:hint="eastAsia" w:ascii="仿宋_GB2312" w:eastAsia="仿宋_GB2312"/>
          <w:color w:val="000000"/>
          <w:sz w:val="32"/>
          <w:szCs w:val="32"/>
        </w:rPr>
        <w:t>社会保障和就业支出（类）行政事业单位养老支出（款）机关事业单位职业年金缴费支出（项）</w:t>
      </w:r>
      <w:r>
        <w:rPr>
          <w:rFonts w:hint="eastAsia" w:ascii="仿宋_GB2312" w:eastAsia="仿宋_GB2312"/>
          <w:color w:val="000000"/>
          <w:sz w:val="32"/>
          <w:szCs w:val="32"/>
          <w:lang w:val="en-US" w:eastAsia="zh-CN"/>
        </w:rPr>
        <w:t>209.27</w:t>
      </w:r>
      <w:r>
        <w:rPr>
          <w:rFonts w:hint="eastAsia" w:ascii="仿宋_GB2312" w:eastAsia="仿宋_GB2312"/>
          <w:color w:val="000000"/>
          <w:sz w:val="32"/>
          <w:szCs w:val="32"/>
        </w:rPr>
        <w:t>万元，主要用于职业年金缴费支出。</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eastAsia="仿宋_GB2312"/>
          <w:color w:val="000000"/>
          <w:sz w:val="32"/>
          <w:szCs w:val="32"/>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lang w:eastAsia="zh-CN"/>
        </w:rPr>
        <w:t>）</w:t>
      </w:r>
      <w:r>
        <w:rPr>
          <w:rFonts w:hint="eastAsia" w:ascii="仿宋_GB2312" w:eastAsia="仿宋_GB2312"/>
          <w:color w:val="000000"/>
          <w:sz w:val="32"/>
          <w:szCs w:val="32"/>
        </w:rPr>
        <w:t>社会保障和就业支出（类）其他社会保障和就业支出（款）其他社会保障和就业支出（项）</w:t>
      </w:r>
      <w:r>
        <w:rPr>
          <w:rFonts w:hint="eastAsia" w:ascii="仿宋_GB2312" w:eastAsia="仿宋_GB2312"/>
          <w:color w:val="000000"/>
          <w:sz w:val="32"/>
          <w:szCs w:val="32"/>
          <w:lang w:val="en-US" w:eastAsia="zh-CN"/>
        </w:rPr>
        <w:t>51.84</w:t>
      </w:r>
      <w:r>
        <w:rPr>
          <w:rFonts w:hint="eastAsia" w:ascii="仿宋_GB2312" w:eastAsia="仿宋_GB2312"/>
          <w:color w:val="000000"/>
          <w:sz w:val="32"/>
          <w:szCs w:val="32"/>
        </w:rPr>
        <w:t>万元，主要用于失业保险、生育保险、工伤保险及残疾人保障金支出。</w:t>
      </w:r>
    </w:p>
    <w:p>
      <w:pPr>
        <w:pStyle w:val="2"/>
        <w:ind w:firstLine="640" w:firstLineChars="200"/>
      </w:pPr>
      <w:r>
        <w:rPr>
          <w:rFonts w:hint="eastAsia" w:ascii="仿宋_GB2312" w:eastAsia="仿宋_GB2312"/>
          <w:color w:val="000000"/>
          <w:sz w:val="32"/>
          <w:szCs w:val="32"/>
        </w:rPr>
        <w:t>（</w:t>
      </w:r>
      <w:r>
        <w:rPr>
          <w:rFonts w:hint="eastAsia"/>
          <w:color w:val="000000"/>
          <w:sz w:val="32"/>
          <w:szCs w:val="32"/>
          <w:lang w:val="en-US" w:eastAsia="zh-CN"/>
        </w:rPr>
        <w:t>5</w:t>
      </w:r>
      <w:r>
        <w:rPr>
          <w:rFonts w:hint="eastAsia" w:ascii="仿宋_GB2312" w:eastAsia="仿宋_GB2312"/>
          <w:color w:val="000000"/>
          <w:sz w:val="32"/>
          <w:szCs w:val="32"/>
        </w:rPr>
        <w:t>）卫生健康支出（类）行政事业单位医疗（款）事业单位医疗</w:t>
      </w:r>
      <w:r>
        <w:rPr>
          <w:rFonts w:hint="eastAsia" w:ascii="仿宋_GB2312" w:eastAsia="仿宋_GB2312"/>
          <w:color w:val="000000"/>
          <w:sz w:val="32"/>
          <w:szCs w:val="32"/>
          <w:lang w:eastAsia="zh-CN"/>
        </w:rPr>
        <w:t>（</w:t>
      </w:r>
      <w:r>
        <w:rPr>
          <w:rFonts w:hint="eastAsia" w:ascii="仿宋_GB2312" w:eastAsia="仿宋_GB2312"/>
          <w:color w:val="000000"/>
          <w:sz w:val="32"/>
          <w:szCs w:val="32"/>
        </w:rPr>
        <w:t>项）</w:t>
      </w:r>
      <w:r>
        <w:rPr>
          <w:rFonts w:hint="eastAsia"/>
          <w:color w:val="000000"/>
          <w:sz w:val="32"/>
          <w:szCs w:val="32"/>
          <w:lang w:val="en-US" w:eastAsia="zh-CN"/>
        </w:rPr>
        <w:t>502.79</w:t>
      </w:r>
      <w:r>
        <w:rPr>
          <w:rFonts w:hint="eastAsia" w:ascii="仿宋_GB2312" w:eastAsia="仿宋_GB2312"/>
          <w:color w:val="000000"/>
          <w:sz w:val="32"/>
          <w:szCs w:val="32"/>
        </w:rPr>
        <w:t>万元，主要用于</w:t>
      </w:r>
      <w:r>
        <w:rPr>
          <w:rFonts w:hint="eastAsia" w:ascii="仿宋_GB2312" w:eastAsia="仿宋_GB2312"/>
          <w:color w:val="000000"/>
          <w:sz w:val="32"/>
          <w:szCs w:val="32"/>
          <w:lang w:eastAsia="zh-CN"/>
        </w:rPr>
        <w:t>医疗保险</w:t>
      </w:r>
      <w:r>
        <w:rPr>
          <w:rFonts w:hint="eastAsia" w:ascii="仿宋_GB2312" w:eastAsia="仿宋_GB2312"/>
          <w:color w:val="000000"/>
          <w:sz w:val="32"/>
          <w:szCs w:val="32"/>
        </w:rPr>
        <w:t>缴费支出。</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320" w:firstLineChars="10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 xml:space="preserve"> （六）</w:t>
      </w:r>
      <w:r>
        <w:rPr>
          <w:rFonts w:hint="eastAsia" w:ascii="楷体_GB2312" w:hAnsi="楷体_GB2312" w:eastAsia="楷体_GB2312" w:cs="楷体_GB2312"/>
          <w:b w:val="0"/>
          <w:bCs/>
          <w:color w:val="000000"/>
          <w:sz w:val="32"/>
          <w:szCs w:val="32"/>
          <w:highlight w:val="none"/>
          <w:lang w:eastAsia="zh-CN"/>
        </w:rPr>
        <w:t>关于浙江省丽水中学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一般公共预算基本支出情况说明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eastAsia="zh-CN"/>
        </w:rPr>
        <w:t>浙江省丽水中学</w:t>
      </w:r>
      <w:r>
        <w:rPr>
          <w:rFonts w:hint="eastAsia" w:ascii="仿宋_GB2312" w:eastAsia="仿宋_GB2312"/>
          <w:color w:val="000000"/>
          <w:sz w:val="32"/>
          <w:szCs w:val="32"/>
          <w:highlight w:val="none"/>
          <w:lang w:val="en-US" w:eastAsia="zh-CN"/>
        </w:rPr>
        <w:t>2023</w:t>
      </w:r>
      <w:r>
        <w:rPr>
          <w:rFonts w:hint="eastAsia" w:ascii="仿宋_GB2312" w:eastAsia="仿宋_GB2312"/>
          <w:color w:val="000000"/>
          <w:sz w:val="32"/>
          <w:szCs w:val="32"/>
          <w:highlight w:val="none"/>
        </w:rPr>
        <w:t>年</w:t>
      </w:r>
      <w:r>
        <w:rPr>
          <w:rFonts w:hint="eastAsia" w:ascii="仿宋_GB2312" w:eastAsia="仿宋_GB2312"/>
          <w:color w:val="000000"/>
          <w:sz w:val="32"/>
          <w:szCs w:val="32"/>
          <w:highlight w:val="none"/>
          <w:lang w:eastAsia="zh-CN"/>
        </w:rPr>
        <w:t>一般公共预算基本支出</w:t>
      </w:r>
      <w:r>
        <w:rPr>
          <w:rFonts w:hint="eastAsia" w:ascii="仿宋_GB2312" w:eastAsia="仿宋_GB2312"/>
          <w:color w:val="000000"/>
          <w:sz w:val="32"/>
          <w:szCs w:val="32"/>
          <w:highlight w:val="none"/>
          <w:lang w:val="en-US" w:eastAsia="zh-CN"/>
        </w:rPr>
        <w:t>7685.43万元，其中：</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s="Times New Roman"/>
          <w:b w:val="0"/>
          <w:color w:val="000000"/>
          <w:sz w:val="32"/>
          <w:szCs w:val="32"/>
          <w:highlight w:val="none"/>
          <w:lang w:val="en-US" w:eastAsia="zh-CN"/>
        </w:rPr>
      </w:pPr>
      <w:r>
        <w:rPr>
          <w:rFonts w:hint="eastAsia" w:ascii="仿宋_GB2312" w:eastAsia="仿宋_GB2312" w:cs="Times New Roman"/>
          <w:b w:val="0"/>
          <w:color w:val="000000"/>
          <w:sz w:val="32"/>
          <w:szCs w:val="32"/>
          <w:highlight w:val="none"/>
          <w:lang w:val="en-US" w:eastAsia="zh-CN"/>
        </w:rPr>
        <w:t>人员经费</w:t>
      </w:r>
      <w:r>
        <w:rPr>
          <w:rFonts w:hint="eastAsia" w:ascii="仿宋_GB2312" w:eastAsia="仿宋_GB2312"/>
          <w:color w:val="000000"/>
          <w:sz w:val="32"/>
          <w:szCs w:val="32"/>
          <w:highlight w:val="none"/>
          <w:lang w:val="en-US" w:eastAsia="zh-CN"/>
        </w:rPr>
        <w:t>7037.28</w:t>
      </w:r>
      <w:r>
        <w:rPr>
          <w:rFonts w:hint="eastAsia" w:ascii="仿宋_GB2312" w:eastAsia="仿宋_GB2312" w:cs="Times New Roman"/>
          <w:b w:val="0"/>
          <w:color w:val="000000"/>
          <w:sz w:val="32"/>
          <w:szCs w:val="32"/>
          <w:highlight w:val="none"/>
          <w:lang w:val="en-US" w:eastAsia="zh-CN"/>
        </w:rPr>
        <w:t>万元，主要包括：基本工资、奖金、绩效工资、机关事业单位基本养老保险缴费、职业年金缴费、职工基本医疗保险缴费、公务员医疗补助缴费、其他社会保障缴费、住房公积金、其他工资福利支出、退休费、生活补助、奖励金、其他对个人和家庭的补助；</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s="Times New Roman"/>
          <w:b w:val="0"/>
          <w:color w:val="000000"/>
          <w:sz w:val="32"/>
          <w:szCs w:val="32"/>
          <w:highlight w:val="none"/>
          <w:lang w:val="en-US" w:eastAsia="zh-CN"/>
        </w:rPr>
      </w:pPr>
      <w:r>
        <w:rPr>
          <w:rFonts w:hint="eastAsia" w:ascii="仿宋_GB2312" w:eastAsia="仿宋_GB2312" w:cs="Times New Roman"/>
          <w:b w:val="0"/>
          <w:color w:val="000000"/>
          <w:sz w:val="32"/>
          <w:szCs w:val="32"/>
          <w:highlight w:val="none"/>
          <w:lang w:val="en-US" w:eastAsia="zh-CN"/>
        </w:rPr>
        <w:t>公用经费</w:t>
      </w:r>
      <w:r>
        <w:rPr>
          <w:rFonts w:hint="eastAsia" w:ascii="仿宋_GB2312" w:eastAsia="仿宋_GB2312"/>
          <w:color w:val="000000"/>
          <w:sz w:val="32"/>
          <w:szCs w:val="32"/>
          <w:highlight w:val="none"/>
          <w:lang w:val="en-US" w:eastAsia="zh-CN"/>
        </w:rPr>
        <w:t>648.16</w:t>
      </w:r>
      <w:r>
        <w:rPr>
          <w:rFonts w:hint="eastAsia" w:ascii="仿宋_GB2312" w:eastAsia="仿宋_GB2312" w:cs="Times New Roman"/>
          <w:b w:val="0"/>
          <w:color w:val="000000"/>
          <w:sz w:val="32"/>
          <w:szCs w:val="32"/>
          <w:highlight w:val="none"/>
          <w:lang w:val="en-US" w:eastAsia="zh-CN"/>
        </w:rPr>
        <w:t>万元，主要包括：办公费、水费、电费、邮电费、物业管理费、差旅费、维修（护）费、公务接待费、劳务费、工会经费、福利费、其他商品和服务支出、办公设备购置。</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（七）关于浙江省丽水中学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政府性基金预算支出情况说明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1.</w:t>
      </w:r>
      <w:r>
        <w:rPr>
          <w:rFonts w:hint="eastAsia" w:ascii="仿宋_GB2312" w:hAnsi="仿宋_GB2312" w:eastAsia="仿宋_GB2312" w:cs="仿宋_GB2312"/>
          <w:b/>
          <w:color w:val="000000"/>
          <w:sz w:val="32"/>
          <w:szCs w:val="32"/>
          <w:highlight w:val="none"/>
          <w:lang w:eastAsia="zh-CN"/>
        </w:rPr>
        <w:t>政府性基金</w:t>
      </w:r>
      <w:r>
        <w:rPr>
          <w:rFonts w:hint="eastAsia" w:ascii="仿宋_GB2312" w:hAnsi="仿宋_GB2312" w:eastAsia="仿宋_GB2312" w:cs="仿宋_GB2312"/>
          <w:b/>
          <w:color w:val="000000"/>
          <w:sz w:val="32"/>
          <w:szCs w:val="32"/>
          <w:highlight w:val="none"/>
          <w:lang w:val="en-US" w:eastAsia="zh-CN"/>
        </w:rPr>
        <w:t>预算当年拨款规模变化情况。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浙江省丽水中学</w:t>
      </w:r>
      <w:r>
        <w:rPr>
          <w:rFonts w:hint="eastAsia" w:ascii="仿宋_GB2312" w:hAnsi="仿宋_GB2312" w:eastAsia="仿宋_GB2312" w:cs="仿宋_GB2312"/>
          <w:color w:val="000000"/>
          <w:sz w:val="32"/>
          <w:szCs w:val="32"/>
          <w:highlight w:val="none"/>
          <w:lang w:val="en-US" w:eastAsia="zh-CN"/>
        </w:rPr>
        <w:t>2023年政府性基金预算当年拨款2752万元，比2022年执行数增加</w:t>
      </w:r>
      <w:r>
        <w:rPr>
          <w:rFonts w:hint="eastAsia" w:ascii="仿宋_GB2312" w:hAnsi="仿宋_GB2312" w:eastAsia="仿宋_GB2312" w:cs="仿宋_GB2312"/>
          <w:color w:val="000000"/>
          <w:sz w:val="32"/>
          <w:highlight w:val="none"/>
          <w:lang w:val="en-US" w:eastAsia="zh-CN"/>
        </w:rPr>
        <w:t>1689.73</w:t>
      </w:r>
      <w:r>
        <w:rPr>
          <w:rFonts w:hint="eastAsia" w:ascii="仿宋_GB2312" w:hAnsi="仿宋_GB2312" w:eastAsia="仿宋_GB2312" w:cs="仿宋_GB2312"/>
          <w:color w:val="000000"/>
          <w:sz w:val="32"/>
          <w:szCs w:val="32"/>
          <w:highlight w:val="none"/>
          <w:lang w:val="en-US" w:eastAsia="zh-CN"/>
        </w:rPr>
        <w:t>万元，</w:t>
      </w:r>
      <w:r>
        <w:rPr>
          <w:rFonts w:hint="eastAsia" w:ascii="仿宋_GB2312" w:hAnsi="仿宋_GB2312" w:eastAsia="仿宋_GB2312" w:cs="仿宋_GB2312"/>
          <w:color w:val="000000"/>
          <w:sz w:val="32"/>
          <w:highlight w:val="none"/>
        </w:rPr>
        <w:t>增长</w:t>
      </w:r>
      <w:r>
        <w:rPr>
          <w:rFonts w:hint="eastAsia" w:ascii="仿宋_GB2312" w:hAnsi="仿宋_GB2312" w:eastAsia="仿宋_GB2312" w:cs="仿宋_GB2312"/>
          <w:color w:val="000000"/>
          <w:sz w:val="32"/>
          <w:highlight w:val="none"/>
          <w:lang w:val="en-US" w:eastAsia="zh-CN"/>
        </w:rPr>
        <w:t>159</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主要是莲城书院新建工程2023年有预算安排。</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2.</w:t>
      </w:r>
      <w:r>
        <w:rPr>
          <w:rFonts w:hint="eastAsia" w:ascii="仿宋_GB2312" w:hAnsi="仿宋_GB2312" w:eastAsia="仿宋_GB2312" w:cs="仿宋_GB2312"/>
          <w:b/>
          <w:color w:val="000000"/>
          <w:sz w:val="32"/>
          <w:szCs w:val="32"/>
          <w:highlight w:val="none"/>
          <w:lang w:eastAsia="zh-CN"/>
        </w:rPr>
        <w:t>政府性基金</w:t>
      </w:r>
      <w:r>
        <w:rPr>
          <w:rFonts w:hint="eastAsia" w:ascii="仿宋_GB2312" w:hAnsi="仿宋_GB2312" w:eastAsia="仿宋_GB2312" w:cs="仿宋_GB2312"/>
          <w:b/>
          <w:color w:val="000000"/>
          <w:sz w:val="32"/>
          <w:szCs w:val="32"/>
          <w:highlight w:val="none"/>
          <w:lang w:val="en-US" w:eastAsia="zh-CN"/>
        </w:rPr>
        <w:t>预算当年拨款结构情况。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eastAsia="仿宋_GB2312"/>
          <w:color w:val="000000"/>
          <w:sz w:val="32"/>
          <w:szCs w:val="32"/>
        </w:rPr>
        <w:t>城乡社区支出（类）支出</w:t>
      </w:r>
      <w:r>
        <w:rPr>
          <w:rFonts w:hint="eastAsia" w:ascii="仿宋_GB2312" w:hAnsi="仿宋_GB2312" w:eastAsia="仿宋_GB2312" w:cs="仿宋_GB2312"/>
          <w:color w:val="000000"/>
          <w:sz w:val="32"/>
          <w:szCs w:val="32"/>
          <w:highlight w:val="none"/>
          <w:lang w:val="en-US" w:eastAsia="zh-CN"/>
        </w:rPr>
        <w:t>2752万元，占100%。</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0"/>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b/>
          <w:color w:val="000000"/>
          <w:sz w:val="32"/>
          <w:szCs w:val="32"/>
          <w:highlight w:val="none"/>
          <w:lang w:val="en-US" w:eastAsia="zh-CN"/>
        </w:rPr>
        <w:t xml:space="preserve">  3.</w:t>
      </w:r>
      <w:r>
        <w:rPr>
          <w:rFonts w:hint="eastAsia" w:ascii="仿宋_GB2312" w:hAnsi="仿宋_GB2312" w:eastAsia="仿宋_GB2312" w:cs="仿宋_GB2312"/>
          <w:b/>
          <w:color w:val="000000"/>
          <w:sz w:val="32"/>
          <w:szCs w:val="32"/>
          <w:highlight w:val="none"/>
          <w:lang w:eastAsia="zh-CN"/>
        </w:rPr>
        <w:t>政府性基金</w:t>
      </w:r>
      <w:r>
        <w:rPr>
          <w:rFonts w:hint="eastAsia" w:ascii="仿宋_GB2312" w:hAnsi="仿宋_GB2312" w:eastAsia="仿宋_GB2312" w:cs="仿宋_GB2312"/>
          <w:b/>
          <w:color w:val="000000"/>
          <w:sz w:val="32"/>
          <w:szCs w:val="32"/>
          <w:highlight w:val="none"/>
          <w:lang w:val="en-US" w:eastAsia="zh-CN"/>
        </w:rPr>
        <w:t>预算当年拨款具体使用情况。</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仿宋_GB2312" w:eastAsia="仿宋_GB2312"/>
          <w:color w:val="000000"/>
          <w:sz w:val="32"/>
          <w:szCs w:val="32"/>
        </w:rPr>
        <w:t>（1）城乡社区支出（类）国有土地使用权出让收入安排的支出（款）城市建设支出（项）</w:t>
      </w:r>
      <w:r>
        <w:rPr>
          <w:rFonts w:hint="eastAsia" w:ascii="仿宋_GB2312" w:eastAsia="仿宋_GB2312"/>
          <w:color w:val="000000"/>
          <w:sz w:val="32"/>
          <w:szCs w:val="32"/>
          <w:lang w:val="en-US" w:eastAsia="zh-CN"/>
        </w:rPr>
        <w:t>2752</w:t>
      </w:r>
      <w:r>
        <w:rPr>
          <w:rFonts w:hint="eastAsia" w:ascii="仿宋_GB2312" w:eastAsia="仿宋_GB2312"/>
          <w:color w:val="000000"/>
          <w:sz w:val="32"/>
          <w:szCs w:val="32"/>
        </w:rPr>
        <w:t>万元，主要用于莲城书院新建工程</w:t>
      </w:r>
      <w:r>
        <w:rPr>
          <w:rFonts w:hint="eastAsia" w:ascii="仿宋_GB2312" w:eastAsia="仿宋_GB2312"/>
          <w:color w:val="000000"/>
          <w:sz w:val="32"/>
          <w:szCs w:val="32"/>
          <w:lang w:eastAsia="zh-CN"/>
        </w:rPr>
        <w:t>、丽水中学校园改造三期工程</w:t>
      </w:r>
      <w:r>
        <w:rPr>
          <w:rFonts w:hint="eastAsia" w:ascii="仿宋_GB2312" w:eastAsia="仿宋_GB2312"/>
          <w:color w:val="000000"/>
          <w:sz w:val="32"/>
          <w:szCs w:val="32"/>
        </w:rPr>
        <w:t>。</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（八）关于浙江省丽水中学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国有资本经营预算支出情况说明</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0" w:firstLineChars="0"/>
        <w:textAlignment w:val="auto"/>
        <w:outlineLvl w:val="9"/>
        <w:rPr>
          <w:rFonts w:hint="eastAsia" w:ascii="仿宋_GB2312" w:hAnsi="仿宋_GB2312" w:eastAsia="仿宋_GB2312" w:cs="仿宋_GB2312"/>
          <w:b w:val="0"/>
          <w:color w:val="000000"/>
          <w:sz w:val="32"/>
          <w:szCs w:val="32"/>
          <w:highlight w:val="none"/>
          <w:lang w:eastAsia="zh-CN"/>
        </w:rPr>
      </w:pPr>
      <w:r>
        <w:rPr>
          <w:rFonts w:hint="eastAsia" w:ascii="仿宋_GB2312" w:eastAsia="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eastAsia="zh-CN"/>
        </w:rPr>
        <w:t>浙江省丽水中学</w:t>
      </w:r>
      <w:r>
        <w:rPr>
          <w:rFonts w:hint="eastAsia" w:ascii="仿宋_GB2312" w:hAnsi="仿宋_GB2312" w:eastAsia="仿宋_GB2312" w:cs="仿宋_GB2312"/>
          <w:color w:val="000000"/>
          <w:sz w:val="32"/>
          <w:szCs w:val="32"/>
          <w:highlight w:val="none"/>
          <w:lang w:val="en-US" w:eastAsia="zh-CN"/>
        </w:rPr>
        <w:t>2023年没有使用国有资本经营预算拨款安排的支出。</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default" w:ascii="楷体_GB2312" w:hAnsi="楷体_GB2312" w:eastAsia="楷体_GB2312" w:cs="楷体_GB2312"/>
          <w:b/>
          <w:bCs/>
          <w:color w:val="auto"/>
          <w:sz w:val="32"/>
          <w:szCs w:val="32"/>
          <w:highlight w:val="none"/>
          <w:lang w:val="en-US"/>
        </w:rPr>
      </w:pPr>
      <w:r>
        <w:rPr>
          <w:rFonts w:hint="eastAsia" w:ascii="楷体_GB2312" w:hAnsi="楷体_GB2312" w:eastAsia="楷体_GB2312" w:cs="楷体_GB2312"/>
          <w:b w:val="0"/>
          <w:bCs/>
          <w:color w:val="000000"/>
          <w:sz w:val="32"/>
          <w:szCs w:val="32"/>
          <w:highlight w:val="none"/>
          <w:lang w:eastAsia="zh-CN"/>
        </w:rPr>
        <w:t>（九）关于浙江省丽水中学</w:t>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color w:val="000000"/>
          <w:sz w:val="32"/>
          <w:szCs w:val="32"/>
          <w:highlight w:val="none"/>
        </w:rPr>
        <w:t>“三公”经费预算情况</w:t>
      </w:r>
      <w:r>
        <w:rPr>
          <w:rFonts w:hint="eastAsia" w:ascii="楷体_GB2312" w:hAnsi="楷体_GB2312" w:eastAsia="楷体_GB2312" w:cs="楷体_GB2312"/>
          <w:b w:val="0"/>
          <w:bCs/>
          <w:color w:val="000000"/>
          <w:sz w:val="32"/>
          <w:szCs w:val="32"/>
          <w:highlight w:val="none"/>
          <w:lang w:eastAsia="zh-CN"/>
        </w:rPr>
        <w:t>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Times New Roman"/>
          <w:color w:val="auto"/>
          <w:kern w:val="2"/>
          <w:sz w:val="32"/>
          <w:szCs w:val="20"/>
          <w:highlight w:val="none"/>
          <w:lang w:val="en-US" w:eastAsia="zh-CN"/>
        </w:rPr>
      </w:pPr>
      <w:r>
        <w:rPr>
          <w:rFonts w:hint="eastAsia" w:ascii="仿宋_GB2312" w:eastAsia="仿宋_GB2312"/>
          <w:color w:val="000000"/>
          <w:sz w:val="32"/>
          <w:szCs w:val="32"/>
          <w:highlight w:val="none"/>
          <w:lang w:eastAsia="zh-CN"/>
        </w:rPr>
        <w:t>浙江省丽水中学</w:t>
      </w:r>
      <w:r>
        <w:rPr>
          <w:rFonts w:hint="eastAsia" w:ascii="仿宋_GB2312" w:hAnsi="仿宋_GB2312" w:eastAsia="仿宋_GB2312"/>
          <w:sz w:val="32"/>
          <w:highlight w:val="none"/>
          <w:lang w:val="en-US" w:eastAsia="zh-CN"/>
        </w:rPr>
        <w:t>2023</w:t>
      </w:r>
      <w:r>
        <w:rPr>
          <w:rFonts w:hint="eastAsia" w:ascii="仿宋_GB2312" w:hAnsi="仿宋_GB2312" w:eastAsia="仿宋_GB2312"/>
          <w:sz w:val="32"/>
          <w:highlight w:val="none"/>
        </w:rPr>
        <w:t>年“三公”经费预算数为</w:t>
      </w:r>
      <w:r>
        <w:rPr>
          <w:rFonts w:hint="eastAsia" w:ascii="仿宋_GB2312" w:eastAsia="仿宋_GB2312"/>
          <w:color w:val="000000"/>
          <w:sz w:val="32"/>
          <w:szCs w:val="32"/>
          <w:highlight w:val="none"/>
          <w:lang w:val="en-US" w:eastAsia="zh-CN"/>
        </w:rPr>
        <w:t>3</w:t>
      </w:r>
      <w:r>
        <w:rPr>
          <w:rFonts w:hint="eastAsia" w:ascii="仿宋_GB2312" w:hAnsi="仿宋_GB2312" w:eastAsia="仿宋_GB2312"/>
          <w:sz w:val="32"/>
          <w:highlight w:val="none"/>
        </w:rPr>
        <w:t>万元</w:t>
      </w:r>
      <w:r>
        <w:rPr>
          <w:rFonts w:hint="eastAsia" w:ascii="仿宋_GB2312" w:hAnsi="仿宋_GB2312" w:eastAsia="仿宋_GB2312"/>
          <w:sz w:val="32"/>
          <w:highlight w:val="none"/>
          <w:lang w:eastAsia="zh-CN"/>
        </w:rPr>
        <w:t>，</w:t>
      </w:r>
      <w:r>
        <w:rPr>
          <w:rFonts w:hint="eastAsia" w:ascii="仿宋_GB2312" w:hAnsi="仿宋_GB2312" w:eastAsia="仿宋_GB2312" w:cs="Times New Roman"/>
          <w:kern w:val="2"/>
          <w:sz w:val="32"/>
          <w:szCs w:val="20"/>
          <w:highlight w:val="none"/>
          <w:shd w:val="clear" w:color="auto" w:fill="FFFFFF"/>
          <w:lang w:val="en-US" w:eastAsia="zh-CN" w:bidi="ar"/>
        </w:rPr>
        <w:t>与上年执行数持平</w:t>
      </w:r>
      <w:r>
        <w:rPr>
          <w:rFonts w:hint="eastAsia" w:ascii="仿宋_GB2312" w:hAnsi="仿宋_GB2312" w:eastAsia="仿宋_GB2312" w:cs="Times New Roman"/>
          <w:sz w:val="32"/>
          <w:szCs w:val="20"/>
          <w:highlight w:val="none"/>
          <w:lang w:eastAsia="zh-CN"/>
        </w:rPr>
        <w:t>，</w:t>
      </w:r>
      <w:r>
        <w:rPr>
          <w:rFonts w:hint="eastAsia" w:ascii="仿宋_GB2312" w:hAnsi="仿宋_GB2312" w:eastAsia="仿宋_GB2312"/>
          <w:sz w:val="32"/>
          <w:highlight w:val="none"/>
          <w:lang w:eastAsia="zh-CN"/>
        </w:rPr>
        <w:t>具体如下：</w:t>
      </w:r>
    </w:p>
    <w:p>
      <w:pPr>
        <w:keepNext w:val="0"/>
        <w:keepLines w:val="0"/>
        <w:pageBreakBefore w:val="0"/>
        <w:numPr>
          <w:ilvl w:val="0"/>
          <w:numId w:val="0"/>
        </w:numPr>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auto"/>
          <w:kern w:val="0"/>
          <w:sz w:val="32"/>
          <w:szCs w:val="32"/>
          <w:highlight w:val="none"/>
        </w:rPr>
        <w:t>1.因公出国（境）</w:t>
      </w:r>
      <w:r>
        <w:rPr>
          <w:rFonts w:hint="eastAsia" w:ascii="仿宋_GB2312" w:hAnsi="仿宋_GB2312" w:eastAsia="仿宋_GB2312" w:cs="仿宋_GB2312"/>
          <w:color w:val="auto"/>
          <w:kern w:val="0"/>
          <w:sz w:val="32"/>
          <w:szCs w:val="32"/>
          <w:highlight w:val="none"/>
          <w:lang w:eastAsia="zh-CN"/>
        </w:rPr>
        <w:t>费用</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sz w:val="32"/>
          <w:szCs w:val="32"/>
          <w:highlight w:val="none"/>
          <w:lang w:val="en-US" w:eastAsia="zh-CN"/>
        </w:rPr>
        <w:t>2023</w:t>
      </w:r>
      <w:r>
        <w:rPr>
          <w:rFonts w:hint="eastAsia" w:ascii="仿宋_GB2312" w:hAnsi="仿宋_GB2312" w:eastAsia="仿宋_GB2312" w:cs="仿宋_GB2312"/>
          <w:sz w:val="32"/>
          <w:szCs w:val="32"/>
          <w:highlight w:val="none"/>
        </w:rPr>
        <w:t>年安排因公出国（境）费</w:t>
      </w:r>
      <w:r>
        <w:rPr>
          <w:rFonts w:hint="eastAsia" w:ascii="仿宋_GB2312" w:hAnsi="仿宋_GB2312" w:eastAsia="仿宋_GB2312" w:cs="仿宋_GB2312"/>
          <w:sz w:val="32"/>
          <w:szCs w:val="32"/>
          <w:highlight w:val="none"/>
          <w:lang w:eastAsia="zh-CN"/>
        </w:rPr>
        <w:t>用预算</w:t>
      </w:r>
      <w:r>
        <w:rPr>
          <w:rFonts w:hint="eastAsia" w:ascii="仿宋_GB2312" w:eastAsia="仿宋_GB2312"/>
          <w:color w:val="000000"/>
          <w:sz w:val="32"/>
          <w:szCs w:val="32"/>
          <w:highlight w:val="none"/>
          <w:lang w:val="en-US" w:eastAsia="zh-CN"/>
        </w:rPr>
        <w:t>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与上年预算数持平。</w:t>
      </w:r>
      <w:r>
        <w:rPr>
          <w:rFonts w:hint="eastAsia" w:ascii="仿宋_GB2312" w:hAnsi="仿宋" w:eastAsia="仿宋_GB2312"/>
          <w:sz w:val="32"/>
          <w:szCs w:val="32"/>
          <w:highlight w:val="none"/>
        </w:rPr>
        <w:t>主要原因是：</w:t>
      </w:r>
      <w:r>
        <w:rPr>
          <w:rFonts w:hint="eastAsia" w:ascii="仿宋_GB2312" w:hAnsi="仿宋_GB2312" w:eastAsia="仿宋_GB2312" w:cs="仿宋_GB2312"/>
          <w:sz w:val="32"/>
          <w:szCs w:val="32"/>
          <w:highlight w:val="none"/>
          <w:lang w:val="en-US" w:eastAsia="zh-CN"/>
        </w:rPr>
        <w:t>2023年因公出国（境）预算由财政统留管理，未编列到年初部门预算中。根据市外办安排的因公出国计划和实际工作需要，经批准同意因公出国（境）的，所需指标由财政按实追加部门年度“三公”经费预算额度。因公出国（境）费用主要用于机关及下属预算单位人员的公务出国（境）的国际旅费、国外城市间交通费、住宿费、伙食费、培训费、公杂费等支出。</w:t>
      </w:r>
    </w:p>
    <w:p>
      <w:pPr>
        <w:keepNext w:val="0"/>
        <w:keepLines w:val="0"/>
        <w:pageBreakBefore w:val="0"/>
        <w:kinsoku/>
        <w:wordWrap/>
        <w:overflowPunct/>
        <w:topLinePunct w:val="0"/>
        <w:bidi w:val="0"/>
        <w:spacing w:beforeLines="0" w:afterLines="0" w:line="520" w:lineRule="exact"/>
        <w:ind w:firstLine="0" w:firstLineChars="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2.公务接待费：</w:t>
      </w:r>
      <w:r>
        <w:rPr>
          <w:rFonts w:hint="eastAsia" w:ascii="仿宋_GB2312" w:hAnsi="仿宋_GB2312" w:eastAsia="仿宋_GB2312" w:cs="仿宋_GB2312"/>
          <w:sz w:val="32"/>
          <w:szCs w:val="32"/>
          <w:highlight w:val="none"/>
          <w:lang w:val="en-US" w:eastAsia="zh-CN"/>
        </w:rPr>
        <w:t>2023</w:t>
      </w:r>
      <w:r>
        <w:rPr>
          <w:rFonts w:hint="eastAsia" w:ascii="仿宋_GB2312" w:hAnsi="仿宋_GB2312" w:eastAsia="仿宋_GB2312" w:cs="仿宋_GB2312"/>
          <w:sz w:val="32"/>
          <w:szCs w:val="32"/>
          <w:highlight w:val="none"/>
        </w:rPr>
        <w:t>年安排公务接待费预算</w:t>
      </w:r>
      <w:r>
        <w:rPr>
          <w:rFonts w:hint="eastAsia" w:ascii="仿宋_GB2312" w:eastAsia="仿宋_GB2312"/>
          <w:color w:val="000000"/>
          <w:sz w:val="32"/>
          <w:szCs w:val="32"/>
          <w:highlight w:val="none"/>
          <w:lang w:val="en-US" w:eastAsia="zh-CN"/>
        </w:rPr>
        <w:t>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与上年预算数持平。</w:t>
      </w:r>
      <w:r>
        <w:rPr>
          <w:rFonts w:hint="eastAsia" w:ascii="仿宋_GB2312" w:hAnsi="仿宋_GB2312" w:eastAsia="仿宋_GB2312" w:cs="仿宋_GB2312"/>
          <w:sz w:val="32"/>
          <w:szCs w:val="32"/>
        </w:rPr>
        <w:t>主要用于接待</w:t>
      </w:r>
      <w:r>
        <w:rPr>
          <w:rFonts w:hint="eastAsia" w:ascii="仿宋_GB2312" w:hAnsi="仿宋_GB2312" w:eastAsia="仿宋_GB2312" w:cs="仿宋_GB2312"/>
          <w:sz w:val="32"/>
          <w:szCs w:val="32"/>
          <w:lang w:val="en-US" w:eastAsia="zh-CN"/>
        </w:rPr>
        <w:t>上级部门调研指导、国内及省内各地市兄弟学校交流、各类教学和科研业务活动等公务活动接待支出。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eastAsia="仿宋_GB2312"/>
          <w:sz w:val="32"/>
          <w:szCs w:val="32"/>
          <w:highlight w:val="none"/>
        </w:rPr>
        <w:t>3.公务用车购置及运行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2023</w:t>
      </w:r>
      <w:r>
        <w:rPr>
          <w:rFonts w:hint="eastAsia" w:ascii="仿宋_GB2312" w:eastAsia="仿宋_GB2312"/>
          <w:sz w:val="32"/>
          <w:szCs w:val="32"/>
          <w:highlight w:val="none"/>
        </w:rPr>
        <w:t>年安排公务用车购置及运行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费预算</w:t>
      </w:r>
      <w:r>
        <w:rPr>
          <w:rFonts w:hint="eastAsia" w:ascii="仿宋_GB2312" w:eastAsia="仿宋_GB2312"/>
          <w:color w:val="000000"/>
          <w:sz w:val="32"/>
          <w:szCs w:val="32"/>
          <w:highlight w:val="none"/>
          <w:lang w:val="en-US" w:eastAsia="zh-CN"/>
        </w:rPr>
        <w:t>0</w:t>
      </w:r>
      <w:r>
        <w:rPr>
          <w:rFonts w:hint="eastAsia" w:ascii="仿宋_GB2312" w:eastAsia="仿宋_GB2312"/>
          <w:sz w:val="32"/>
          <w:szCs w:val="32"/>
          <w:highlight w:val="none"/>
        </w:rPr>
        <w:t>万元，</w:t>
      </w:r>
      <w:r>
        <w:rPr>
          <w:rFonts w:hint="eastAsia" w:ascii="仿宋_GB2312" w:hAnsi="仿宋_GB2312" w:eastAsia="仿宋_GB2312" w:cs="仿宋_GB2312"/>
          <w:sz w:val="32"/>
          <w:szCs w:val="32"/>
          <w:highlight w:val="none"/>
          <w:lang w:val="en-US" w:eastAsia="zh-CN"/>
        </w:rPr>
        <w:t>与上年预算数持平。</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3" w:firstLineChars="200"/>
        <w:textAlignment w:val="auto"/>
        <w:outlineLvl w:val="9"/>
        <w:rPr>
          <w:rFonts w:hint="eastAsia" w:ascii="仿宋_GB2312" w:eastAsia="仿宋_GB2312"/>
          <w:b/>
          <w:bCs/>
          <w:sz w:val="32"/>
          <w:szCs w:val="32"/>
          <w:highlight w:val="none"/>
          <w:u w:val="none"/>
          <w:lang w:val="en-US" w:eastAsia="zh-CN"/>
        </w:rPr>
      </w:pPr>
      <w:r>
        <w:rPr>
          <w:rFonts w:hint="eastAsia" w:ascii="仿宋_GB2312" w:eastAsia="仿宋_GB2312"/>
          <w:b/>
          <w:bCs/>
          <w:sz w:val="32"/>
          <w:szCs w:val="32"/>
          <w:highlight w:val="none"/>
          <w:u w:val="none"/>
          <w:lang w:val="en-US" w:eastAsia="zh-CN"/>
        </w:rPr>
        <w:t>1.政府采购情况。</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eastAsia="仿宋_GB2312"/>
          <w:sz w:val="32"/>
          <w:szCs w:val="32"/>
          <w:highlight w:val="none"/>
          <w:u w:val="none"/>
          <w:lang w:eastAsia="zh-CN"/>
        </w:rPr>
      </w:pPr>
      <w:r>
        <w:rPr>
          <w:rFonts w:hint="eastAsia" w:ascii="仿宋_GB2312" w:eastAsia="仿宋_GB2312"/>
          <w:b w:val="0"/>
          <w:bCs w:val="0"/>
          <w:sz w:val="32"/>
          <w:szCs w:val="32"/>
          <w:highlight w:val="none"/>
          <w:u w:val="none"/>
          <w:lang w:val="en-US" w:eastAsia="zh-CN"/>
        </w:rPr>
        <w:t>2023年</w:t>
      </w:r>
      <w:r>
        <w:rPr>
          <w:rFonts w:hint="eastAsia" w:ascii="仿宋_GB2312" w:eastAsia="仿宋_GB2312"/>
          <w:color w:val="000000"/>
          <w:sz w:val="32"/>
          <w:szCs w:val="32"/>
          <w:highlight w:val="none"/>
          <w:lang w:eastAsia="zh-CN"/>
        </w:rPr>
        <w:t>浙江省丽水中学各单位政府采购预算总额</w:t>
      </w:r>
      <w:r>
        <w:rPr>
          <w:rFonts w:hint="eastAsia" w:ascii="仿宋_GB2312" w:eastAsia="仿宋_GB2312"/>
          <w:color w:val="000000"/>
          <w:sz w:val="32"/>
          <w:szCs w:val="32"/>
          <w:highlight w:val="none"/>
          <w:lang w:val="en-US" w:eastAsia="zh-CN"/>
        </w:rPr>
        <w:t>422.44万元，其中：政府采购货物预算205.94万元、政府采购工程预算0万元、政府采购服务预算216.5万元。</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sz w:val="32"/>
          <w:szCs w:val="32"/>
          <w:highlight w:val="none"/>
          <w:u w:val="none"/>
          <w:lang w:val="en-US" w:eastAsia="zh-CN"/>
        </w:rPr>
      </w:pPr>
      <w:r>
        <w:rPr>
          <w:rFonts w:hint="eastAsia" w:ascii="仿宋_GB2312" w:eastAsia="仿宋_GB2312"/>
          <w:b/>
          <w:bCs/>
          <w:sz w:val="32"/>
          <w:szCs w:val="32"/>
          <w:highlight w:val="none"/>
          <w:u w:val="none"/>
          <w:lang w:val="en-US" w:eastAsia="zh-CN"/>
        </w:rPr>
        <w:t>2.国有资产占有使用情况。</w:t>
      </w:r>
    </w:p>
    <w:p>
      <w:pPr>
        <w:pStyle w:val="17"/>
        <w:keepNext w:val="0"/>
        <w:keepLines w:val="0"/>
        <w:pageBreakBefore w:val="0"/>
        <w:numPr>
          <w:ilvl w:val="0"/>
          <w:numId w:val="0"/>
        </w:numPr>
        <w:kinsoku/>
        <w:wordWrap/>
        <w:overflowPunct/>
        <w:topLinePunct w:val="0"/>
        <w:bidi w:val="0"/>
        <w:spacing w:beforeLines="0" w:afterLines="0" w:line="560" w:lineRule="exact"/>
        <w:ind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截至2022年12月31日，浙江省丽水中学所属各预算单位共有车辆0辆。单位价值50万元以上通用设备0台（套），单位价值100万元以上专用设备0台（套）。</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lang w:val="en-US" w:eastAsia="zh-CN"/>
        </w:rPr>
        <w:t>2023年预算未安排购置车辆、单位价值50万元以上通用设备及单位价值100万元以上专用设备。</w:t>
      </w:r>
    </w:p>
    <w:p>
      <w:pPr>
        <w:pStyle w:val="17"/>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仿宋_GB2312" w:eastAsia="仿宋_GB2312"/>
          <w:b/>
          <w:bCs/>
          <w:sz w:val="32"/>
          <w:szCs w:val="32"/>
          <w:highlight w:val="none"/>
          <w:u w:val="none"/>
          <w:lang w:val="en-US" w:eastAsia="zh-CN"/>
        </w:rPr>
      </w:pPr>
      <w:r>
        <w:rPr>
          <w:rFonts w:hint="eastAsia" w:ascii="仿宋_GB2312" w:eastAsia="仿宋_GB2312"/>
          <w:b/>
          <w:bCs/>
          <w:sz w:val="32"/>
          <w:szCs w:val="32"/>
          <w:highlight w:val="none"/>
          <w:u w:val="none"/>
          <w:lang w:val="en-US" w:eastAsia="zh-CN"/>
        </w:rPr>
        <w:t xml:space="preserve">    3.预算绩效情况说明。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2023年浙江省丽水中学其他运转类项目和特定目标类项目均实行绩效目标管理，涉及一般公共预算当年拨款917.01万元，一级项目1个。</w:t>
      </w:r>
    </w:p>
    <w:p>
      <w:pPr>
        <w:pStyle w:val="17"/>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黑体" w:hAnsi="黑体" w:eastAsia="黑体" w:cs="黑体"/>
          <w:b w:val="0"/>
          <w:bCs/>
          <w:kern w:val="2"/>
          <w:sz w:val="32"/>
          <w:szCs w:val="32"/>
          <w:highlight w:val="none"/>
          <w:lang w:val="en-US" w:eastAsia="zh-CN" w:bidi="ar-SA"/>
        </w:rPr>
      </w:pPr>
      <w:r>
        <w:rPr>
          <w:rFonts w:hint="eastAsia" w:ascii="黑体" w:hAnsi="黑体" w:eastAsia="黑体" w:cs="黑体"/>
          <w:b w:val="0"/>
          <w:bCs/>
          <w:kern w:val="2"/>
          <w:sz w:val="32"/>
          <w:szCs w:val="32"/>
          <w:highlight w:val="none"/>
          <w:lang w:val="en-US" w:eastAsia="zh-CN" w:bidi="ar-SA"/>
        </w:rPr>
        <w:t>三、名词解释</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1.财政拨款收入：本级财政当年拨付的财政预算资金，包括一般公共预算财政拨款、政府性基金预算和国有资本经营预算财政拨款。</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2.专户资金:教育收费作为本的事业收入，纳入财政专户管理的资金。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3.基本支出：是预算单位为保障其正常运转，完成日常工作任务所发生的支出，包括人员支出和日常公用支出。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4.项目支出：是预算单位为完成其特定的行政工作任务或事业发展目标所发生的支出。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三公”经费：纳入财政预决算管理的“三公”经费，是指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ascii="仿宋_GB2312" w:hAnsi="仿宋_GB2312" w:eastAsia="仿宋_GB2312" w:cs="仿宋_GB2312"/>
          <w:sz w:val="32"/>
          <w:szCs w:val="32"/>
          <w:shd w:val="clear" w:color="auto" w:fill="FFFFFF"/>
        </w:rPr>
      </w:pPr>
      <w:r>
        <w:rPr>
          <w:rFonts w:hint="eastAsia" w:ascii="仿宋_GB2312" w:hAnsi="仿宋_GB2312" w:eastAsia="仿宋_GB2312" w:cs="仿宋_GB2312"/>
          <w:color w:val="auto"/>
          <w:sz w:val="32"/>
          <w:szCs w:val="32"/>
          <w:highlight w:val="none"/>
          <w:lang w:val="en-US" w:eastAsia="zh-CN"/>
        </w:rPr>
        <w:t>6.</w:t>
      </w:r>
      <w:r>
        <w:rPr>
          <w:rFonts w:ascii="仿宋_GB2312" w:hAnsi="仿宋_GB2312" w:eastAsia="仿宋_GB2312" w:cs="仿宋_GB2312"/>
          <w:sz w:val="32"/>
          <w:szCs w:val="32"/>
          <w:shd w:val="clear" w:color="auto" w:fill="FFFFFF"/>
        </w:rPr>
        <w:t>教育支出（类）普通教育（款）</w:t>
      </w:r>
      <w:r>
        <w:rPr>
          <w:rFonts w:hint="eastAsia" w:ascii="仿宋_GB2312" w:hAnsi="仿宋_GB2312" w:eastAsia="仿宋_GB2312" w:cs="仿宋_GB2312"/>
          <w:sz w:val="32"/>
          <w:szCs w:val="32"/>
        </w:rPr>
        <w:t>高</w:t>
      </w:r>
      <w:r>
        <w:rPr>
          <w:rFonts w:ascii="仿宋_GB2312" w:hAnsi="仿宋_GB2312" w:eastAsia="仿宋_GB2312" w:cs="仿宋_GB2312"/>
          <w:sz w:val="32"/>
          <w:szCs w:val="32"/>
          <w:shd w:val="clear" w:color="auto" w:fill="FFFFFF"/>
        </w:rPr>
        <w:t>中教育（项）：</w:t>
      </w:r>
      <w:r>
        <w:rPr>
          <w:rFonts w:hint="eastAsia" w:ascii="仿宋_GB2312" w:hAnsi="仿宋_GB2312" w:eastAsia="仿宋_GB2312" w:cs="仿宋_GB2312"/>
          <w:sz w:val="32"/>
          <w:szCs w:val="32"/>
          <w:shd w:val="clear" w:color="auto" w:fill="FFFFFF"/>
          <w:lang w:val="en-US" w:eastAsia="zh-CN"/>
        </w:rPr>
        <w:t>反映</w:t>
      </w:r>
      <w:r>
        <w:rPr>
          <w:rFonts w:ascii="仿宋_GB2312" w:hAnsi="仿宋_GB2312" w:eastAsia="仿宋_GB2312" w:cs="仿宋_GB2312"/>
          <w:sz w:val="32"/>
          <w:szCs w:val="32"/>
          <w:shd w:val="clear" w:color="auto" w:fill="FFFFFF"/>
        </w:rPr>
        <w:t>各部门举办的</w:t>
      </w:r>
      <w:r>
        <w:rPr>
          <w:rFonts w:hint="eastAsia" w:ascii="仿宋_GB2312" w:hAnsi="仿宋_GB2312" w:eastAsia="仿宋_GB2312" w:cs="仿宋_GB2312"/>
          <w:sz w:val="32"/>
          <w:szCs w:val="32"/>
        </w:rPr>
        <w:t>高级中学</w:t>
      </w:r>
      <w:r>
        <w:rPr>
          <w:rFonts w:ascii="仿宋_GB2312" w:hAnsi="仿宋_GB2312" w:eastAsia="仿宋_GB2312" w:cs="仿宋_GB2312"/>
          <w:sz w:val="32"/>
          <w:szCs w:val="32"/>
          <w:shd w:val="clear" w:color="auto" w:fill="FFFFFF"/>
        </w:rPr>
        <w:t>教育支出。政府各部门对社会组织等举办的</w:t>
      </w:r>
      <w:r>
        <w:rPr>
          <w:rFonts w:hint="eastAsia" w:ascii="仿宋_GB2312" w:hAnsi="仿宋_GB2312" w:eastAsia="仿宋_GB2312" w:cs="仿宋_GB2312"/>
          <w:sz w:val="32"/>
          <w:szCs w:val="32"/>
        </w:rPr>
        <w:t>高级中学</w:t>
      </w:r>
      <w:r>
        <w:rPr>
          <w:rFonts w:ascii="仿宋_GB2312" w:hAnsi="仿宋_GB2312" w:eastAsia="仿宋_GB2312" w:cs="仿宋_GB2312"/>
          <w:sz w:val="32"/>
          <w:szCs w:val="32"/>
          <w:shd w:val="clear" w:color="auto" w:fill="FFFFFF"/>
        </w:rPr>
        <w:t>的资助，如捐赠、补贴等，也在本科目中反映。</w:t>
      </w:r>
      <w:r>
        <w:rPr>
          <w:rFonts w:ascii="仿宋_GB2312" w:hAnsi="仿宋_GB2312" w:eastAsia="仿宋_GB2312" w:cs="仿宋_GB2312"/>
          <w:sz w:val="32"/>
          <w:szCs w:val="32"/>
          <w:shd w:val="clear" w:color="auto" w:fill="FFFFFF"/>
        </w:rPr>
        <w:br w:type="textWrapping"/>
      </w:r>
      <w:r>
        <w:rPr>
          <w:rFonts w:ascii="仿宋_GB2312" w:hAnsi="仿宋_GB2312" w:eastAsia="仿宋_GB2312" w:cs="仿宋_GB2312"/>
          <w:sz w:val="32"/>
          <w:szCs w:val="32"/>
          <w:shd w:val="clear" w:color="auto" w:fill="FFFFFF"/>
        </w:rPr>
        <w:br w:type="textWrapping"/>
      </w: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color w:val="auto"/>
          <w:sz w:val="32"/>
          <w:szCs w:val="32"/>
          <w:highlight w:val="none"/>
          <w:lang w:val="en-US" w:eastAsia="zh-CN"/>
        </w:rPr>
        <w:t>7.</w:t>
      </w:r>
      <w:r>
        <w:rPr>
          <w:rFonts w:ascii="仿宋_GB2312" w:hAnsi="仿宋_GB2312" w:eastAsia="仿宋_GB2312" w:cs="仿宋_GB2312"/>
          <w:sz w:val="32"/>
          <w:szCs w:val="32"/>
          <w:shd w:val="clear" w:color="auto" w:fill="FFFFFF"/>
        </w:rPr>
        <w:t>社会保障和就业支出（类）行政事业单位养老支出（款）机关事业单位基本养老保险缴费支出（项）：</w:t>
      </w:r>
      <w:r>
        <w:rPr>
          <w:rFonts w:hint="eastAsia" w:ascii="仿宋_GB2312" w:hAnsi="仿宋_GB2312" w:eastAsia="仿宋_GB2312" w:cs="仿宋_GB2312"/>
          <w:sz w:val="32"/>
          <w:szCs w:val="32"/>
          <w:shd w:val="clear" w:color="auto" w:fill="FFFFFF"/>
          <w:lang w:eastAsia="zh-CN"/>
        </w:rPr>
        <w:t>反映</w:t>
      </w:r>
      <w:r>
        <w:rPr>
          <w:rFonts w:ascii="仿宋_GB2312" w:hAnsi="仿宋_GB2312" w:eastAsia="仿宋_GB2312" w:cs="仿宋_GB2312"/>
          <w:sz w:val="32"/>
          <w:szCs w:val="32"/>
          <w:shd w:val="clear" w:color="auto" w:fill="FFFFFF"/>
        </w:rPr>
        <w:t>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lang w:val="en-US" w:eastAsia="zh-CN"/>
        </w:rPr>
        <w:t>8.</w:t>
      </w:r>
      <w:r>
        <w:rPr>
          <w:rFonts w:ascii="仿宋_GB2312" w:hAnsi="仿宋_GB2312" w:eastAsia="仿宋_GB2312" w:cs="仿宋_GB2312"/>
          <w:sz w:val="32"/>
          <w:szCs w:val="32"/>
          <w:shd w:val="clear" w:color="auto" w:fill="FFFFFF"/>
        </w:rPr>
        <w:t>社会保障和就业支出（类）行政事业单位养老支出（款）机关事业单位职业年金缴费支出（项）：</w:t>
      </w:r>
      <w:r>
        <w:rPr>
          <w:rFonts w:hint="eastAsia" w:ascii="仿宋_GB2312" w:hAnsi="仿宋_GB2312" w:eastAsia="仿宋_GB2312" w:cs="仿宋_GB2312"/>
          <w:sz w:val="32"/>
          <w:szCs w:val="32"/>
          <w:shd w:val="clear" w:color="auto" w:fill="FFFFFF"/>
          <w:lang w:eastAsia="zh-CN"/>
        </w:rPr>
        <w:t>反映机</w:t>
      </w:r>
      <w:r>
        <w:rPr>
          <w:rFonts w:ascii="仿宋_GB2312" w:hAnsi="仿宋_GB2312" w:eastAsia="仿宋_GB2312" w:cs="仿宋_GB2312"/>
          <w:sz w:val="32"/>
          <w:szCs w:val="32"/>
          <w:shd w:val="clear" w:color="auto" w:fill="FFFFFF"/>
        </w:rPr>
        <w:t>关事业单位实施养老保险制度由单位实际缴纳的职业年金支出。</w:t>
      </w:r>
      <w:r>
        <w:rPr>
          <w:rFonts w:ascii="仿宋_GB2312" w:hAnsi="仿宋_GB2312" w:eastAsia="仿宋_GB2312" w:cs="仿宋_GB2312"/>
          <w:sz w:val="32"/>
          <w:szCs w:val="32"/>
          <w:shd w:val="clear" w:color="auto" w:fill="FFFFFF"/>
        </w:rPr>
        <w:br w:type="textWrapping"/>
      </w:r>
      <w:r>
        <w:rPr>
          <w:rFonts w:hint="eastAsia" w:ascii="仿宋_GB2312" w:hAnsi="仿宋_GB2312" w:eastAsia="仿宋_GB2312" w:cs="仿宋_GB2312"/>
          <w:sz w:val="32"/>
          <w:szCs w:val="32"/>
          <w:shd w:val="clear" w:color="auto" w:fill="FFFFFF"/>
          <w:lang w:val="en-US" w:eastAsia="zh-CN"/>
        </w:rPr>
        <w:t xml:space="preserve">    9.</w:t>
      </w:r>
      <w:r>
        <w:rPr>
          <w:rFonts w:ascii="仿宋_GB2312" w:hAnsi="仿宋_GB2312" w:eastAsia="仿宋_GB2312" w:cs="仿宋_GB2312"/>
          <w:sz w:val="32"/>
          <w:szCs w:val="32"/>
          <w:shd w:val="clear" w:color="auto" w:fill="FFFFFF"/>
        </w:rPr>
        <w:t>社会保障和就业支出（类）其他社会保障和就业支出（款）其他社会保障和就业支出（项）：</w:t>
      </w:r>
      <w:r>
        <w:rPr>
          <w:rFonts w:hint="eastAsia" w:ascii="仿宋_GB2312" w:hAnsi="仿宋_GB2312" w:eastAsia="仿宋_GB2312" w:cs="仿宋_GB2312"/>
          <w:sz w:val="32"/>
          <w:szCs w:val="32"/>
          <w:shd w:val="clear" w:color="auto" w:fill="FFFFFF"/>
          <w:lang w:eastAsia="zh-CN"/>
        </w:rPr>
        <w:t>反映</w:t>
      </w:r>
      <w:r>
        <w:rPr>
          <w:rFonts w:hint="eastAsia" w:ascii="仿宋_GB2312" w:hAnsi="仿宋_GB2312" w:eastAsia="仿宋_GB2312" w:cs="仿宋_GB2312"/>
          <w:sz w:val="32"/>
          <w:szCs w:val="32"/>
          <w:shd w:val="clear" w:color="auto" w:fill="FFFFFF"/>
          <w:lang w:val="en-US" w:eastAsia="zh-CN"/>
        </w:rPr>
        <w:t>一般</w:t>
      </w:r>
      <w:r>
        <w:rPr>
          <w:rFonts w:ascii="仿宋_GB2312" w:hAnsi="仿宋_GB2312" w:eastAsia="仿宋_GB2312" w:cs="仿宋_GB2312"/>
          <w:sz w:val="32"/>
          <w:szCs w:val="32"/>
          <w:shd w:val="clear" w:color="auto" w:fill="FFFFFF"/>
        </w:rPr>
        <w:t>项目以外其他用于社会保障和就业方面的支出。</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olor w:val="000000"/>
          <w:sz w:val="32"/>
          <w:szCs w:val="32"/>
        </w:rPr>
      </w:pPr>
      <w:r>
        <w:rPr>
          <w:rFonts w:hint="eastAsia" w:ascii="楷体_GB2312" w:hAnsi="楷体_GB2312" w:eastAsia="楷体_GB2312" w:cs="楷体_GB2312"/>
          <w:b w:val="0"/>
          <w:bCs/>
          <w:color w:val="000000"/>
          <w:sz w:val="32"/>
          <w:szCs w:val="32"/>
          <w:highlight w:val="none"/>
          <w:lang w:val="en-US" w:eastAsia="zh-CN"/>
        </w:rPr>
        <w:t>10.</w:t>
      </w:r>
      <w:r>
        <w:rPr>
          <w:rFonts w:hint="eastAsia" w:ascii="仿宋_GB2312" w:eastAsia="仿宋_GB2312"/>
          <w:color w:val="000000"/>
          <w:sz w:val="32"/>
          <w:szCs w:val="32"/>
        </w:rPr>
        <w:t>卫生健康支出（类）行政事业单位医疗（款）事业单位医疗</w:t>
      </w:r>
      <w:r>
        <w:rPr>
          <w:rFonts w:hint="eastAsia" w:ascii="仿宋_GB2312" w:eastAsia="仿宋_GB2312"/>
          <w:color w:val="000000"/>
          <w:sz w:val="32"/>
          <w:szCs w:val="32"/>
          <w:lang w:eastAsia="zh-CN"/>
        </w:rPr>
        <w:t>（</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反映财政部门安排的事业单位基本医疗保险缴费经费，未参加医疗保险的事业单位的公费医疗经费，按国家规定享受离休人员待遇的医疗经费</w:t>
      </w:r>
      <w:r>
        <w:rPr>
          <w:rFonts w:hint="eastAsia" w:ascii="仿宋_GB2312"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beforeLines="0" w:afterLines="0" w:line="560" w:lineRule="exact"/>
        <w:ind w:left="0" w:leftChars="0" w:right="0" w:rightChars="0" w:firstLine="640"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sz w:val="32"/>
          <w:szCs w:val="32"/>
          <w:lang w:val="en-US" w:eastAsia="zh-CN"/>
        </w:rPr>
        <w:t>11</w:t>
      </w:r>
      <w:r>
        <w:rPr>
          <w:rFonts w:ascii="仿宋_GB2312" w:hAnsi="仿宋_GB2312" w:eastAsia="仿宋_GB2312" w:cs="仿宋_GB2312"/>
          <w:sz w:val="32"/>
          <w:szCs w:val="32"/>
          <w:shd w:val="clear" w:color="auto" w:fill="FFFFFF"/>
        </w:rPr>
        <w:t>.城乡社区支出（类）国有土地使用出让收入安排的支出（款）城市建设支出（项）：指反映土地出让收入用于完善国有土地使用功能的配套设施建设和城市基础设施建设支出。</w:t>
      </w:r>
      <w:r>
        <w:rPr>
          <w:rFonts w:ascii="仿宋_GB2312" w:hAnsi="仿宋_GB2312" w:eastAsia="仿宋_GB2312" w:cs="仿宋_GB2312"/>
          <w:sz w:val="32"/>
          <w:szCs w:val="32"/>
          <w:shd w:val="clear" w:color="auto" w:fill="FFFFFF"/>
        </w:rPr>
        <w:br w:type="textWrapping"/>
      </w:r>
    </w:p>
    <w:p>
      <w:pPr>
        <w:spacing w:line="520" w:lineRule="exact"/>
        <w:rPr>
          <w:color w:val="auto"/>
          <w:highlight w:val="none"/>
        </w:rPr>
      </w:pPr>
    </w:p>
    <w:p>
      <w:pPr>
        <w:pStyle w:val="2"/>
        <w:rPr>
          <w:highlight w:val="none"/>
        </w:rPr>
      </w:pPr>
    </w:p>
    <w:p>
      <w:pPr>
        <w:pStyle w:val="2"/>
        <w:rPr>
          <w:highlight w:val="none"/>
        </w:rPr>
      </w:pPr>
    </w:p>
    <w:p>
      <w:pPr>
        <w:pStyle w:val="2"/>
        <w:rPr>
          <w:highlight w:val="none"/>
        </w:rPr>
      </w:pPr>
    </w:p>
    <w:p>
      <w:pPr>
        <w:pStyle w:val="2"/>
        <w:rPr>
          <w:rFonts w:hint="eastAsia" w:eastAsia="仿宋_GB2312"/>
          <w:highlight w:val="none"/>
          <w:lang w:eastAsia="zh-CN"/>
        </w:rPr>
      </w:pPr>
    </w:p>
    <w:sectPr>
      <w:footerReference r:id="rId3" w:type="default"/>
      <w:pgSz w:w="11906" w:h="16838"/>
      <w:pgMar w:top="1440" w:right="1800" w:bottom="1440" w:left="1800" w:header="851" w:footer="992" w:gutter="0"/>
      <w:pgNumType w:fmt="decimal"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5A99C"/>
    <w:multiLevelType w:val="singleLevel"/>
    <w:tmpl w:val="5895A99C"/>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OWZiMWI5ODZiMjM2MjU4NWNiMThkZGI5MDliYzcifQ=="/>
  </w:docVars>
  <w:rsids>
    <w:rsidRoot w:val="00000000"/>
    <w:rsid w:val="017B532E"/>
    <w:rsid w:val="034A4522"/>
    <w:rsid w:val="0432483D"/>
    <w:rsid w:val="05412EA1"/>
    <w:rsid w:val="073A5AF0"/>
    <w:rsid w:val="0A665ECD"/>
    <w:rsid w:val="0B1B5E0C"/>
    <w:rsid w:val="0C014F6D"/>
    <w:rsid w:val="0C7D03BE"/>
    <w:rsid w:val="0D3E75D1"/>
    <w:rsid w:val="0EAD1453"/>
    <w:rsid w:val="11641E21"/>
    <w:rsid w:val="11CF2B88"/>
    <w:rsid w:val="125B4450"/>
    <w:rsid w:val="128C64FF"/>
    <w:rsid w:val="15681707"/>
    <w:rsid w:val="15EC252C"/>
    <w:rsid w:val="16EF5067"/>
    <w:rsid w:val="18AD554C"/>
    <w:rsid w:val="1D4B3AB7"/>
    <w:rsid w:val="1ED74D17"/>
    <w:rsid w:val="1FE05B5A"/>
    <w:rsid w:val="2212198A"/>
    <w:rsid w:val="245B3CCB"/>
    <w:rsid w:val="24C33015"/>
    <w:rsid w:val="24DB720B"/>
    <w:rsid w:val="24F7427D"/>
    <w:rsid w:val="255258CA"/>
    <w:rsid w:val="27AF99D0"/>
    <w:rsid w:val="293D5505"/>
    <w:rsid w:val="2D8711B8"/>
    <w:rsid w:val="2DA1731A"/>
    <w:rsid w:val="30240D99"/>
    <w:rsid w:val="32FF21F7"/>
    <w:rsid w:val="353E1DF4"/>
    <w:rsid w:val="356664BE"/>
    <w:rsid w:val="362B515A"/>
    <w:rsid w:val="3787034C"/>
    <w:rsid w:val="39C7B2DC"/>
    <w:rsid w:val="3A8107C9"/>
    <w:rsid w:val="3AAE4FC5"/>
    <w:rsid w:val="3B73ECAC"/>
    <w:rsid w:val="3E054CA0"/>
    <w:rsid w:val="3E5502F5"/>
    <w:rsid w:val="3E663D4F"/>
    <w:rsid w:val="3FF778EB"/>
    <w:rsid w:val="41260B4E"/>
    <w:rsid w:val="4413460B"/>
    <w:rsid w:val="479F1816"/>
    <w:rsid w:val="488F720D"/>
    <w:rsid w:val="4A8B6183"/>
    <w:rsid w:val="4AFA32A4"/>
    <w:rsid w:val="4FD16C49"/>
    <w:rsid w:val="54BD4624"/>
    <w:rsid w:val="54C31518"/>
    <w:rsid w:val="56432923"/>
    <w:rsid w:val="56510F7D"/>
    <w:rsid w:val="5BF5023D"/>
    <w:rsid w:val="5BF9A05E"/>
    <w:rsid w:val="5C387697"/>
    <w:rsid w:val="5CA47F6C"/>
    <w:rsid w:val="5EEFD4B0"/>
    <w:rsid w:val="5F1326B2"/>
    <w:rsid w:val="625D3E64"/>
    <w:rsid w:val="66E46596"/>
    <w:rsid w:val="6BAE0400"/>
    <w:rsid w:val="702436C6"/>
    <w:rsid w:val="71071882"/>
    <w:rsid w:val="753064B9"/>
    <w:rsid w:val="759C24D2"/>
    <w:rsid w:val="76442312"/>
    <w:rsid w:val="76820CE3"/>
    <w:rsid w:val="76DFF3BC"/>
    <w:rsid w:val="77FF0865"/>
    <w:rsid w:val="77FFC04D"/>
    <w:rsid w:val="7952609F"/>
    <w:rsid w:val="79AD5421"/>
    <w:rsid w:val="79F771F0"/>
    <w:rsid w:val="7B7F4ADB"/>
    <w:rsid w:val="7B8F712F"/>
    <w:rsid w:val="7BAF2D93"/>
    <w:rsid w:val="7BFB2C3E"/>
    <w:rsid w:val="7CDF3BD2"/>
    <w:rsid w:val="7CFB18E8"/>
    <w:rsid w:val="7DBFC2EB"/>
    <w:rsid w:val="7EFFAD84"/>
    <w:rsid w:val="7F3F7849"/>
    <w:rsid w:val="7FD69C4C"/>
    <w:rsid w:val="7FE3062C"/>
    <w:rsid w:val="7FE533F5"/>
    <w:rsid w:val="8FCBCDA8"/>
    <w:rsid w:val="A4EFBF90"/>
    <w:rsid w:val="AFFD9F88"/>
    <w:rsid w:val="BA7D2319"/>
    <w:rsid w:val="BB7E2F4C"/>
    <w:rsid w:val="BBBFE1BE"/>
    <w:rsid w:val="BBFB80D7"/>
    <w:rsid w:val="C73CFE10"/>
    <w:rsid w:val="C7EC0F46"/>
    <w:rsid w:val="CFAF7AFD"/>
    <w:rsid w:val="DEFFEF20"/>
    <w:rsid w:val="DFAFC5B6"/>
    <w:rsid w:val="DFFFE862"/>
    <w:rsid w:val="E66AD4B1"/>
    <w:rsid w:val="E7FF0B81"/>
    <w:rsid w:val="EBFCAC2C"/>
    <w:rsid w:val="EF3D605F"/>
    <w:rsid w:val="EFFE56DC"/>
    <w:rsid w:val="F2F1E07F"/>
    <w:rsid w:val="F2F9A87E"/>
    <w:rsid w:val="FC35808B"/>
    <w:rsid w:val="FDB31AF6"/>
    <w:rsid w:val="FE45D110"/>
    <w:rsid w:val="FEF8F2E0"/>
    <w:rsid w:val="FF7333E8"/>
    <w:rsid w:val="FFBA12EB"/>
    <w:rsid w:val="FFF7A5F1"/>
    <w:rsid w:val="FFFD7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link w:val="7"/>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Char"/>
    <w:basedOn w:val="1"/>
    <w:link w:val="6"/>
    <w:qFormat/>
    <w:uiPriority w:val="0"/>
  </w:style>
  <w:style w:type="character" w:styleId="8">
    <w:name w:val="Strong"/>
    <w:basedOn w:val="6"/>
    <w:qFormat/>
    <w:uiPriority w:val="0"/>
    <w:rPr>
      <w:b/>
      <w:bCs/>
    </w:rPr>
  </w:style>
  <w:style w:type="character" w:styleId="9">
    <w:name w:val="page number"/>
    <w:basedOn w:val="6"/>
    <w:qFormat/>
    <w:uiPriority w:val="0"/>
  </w:style>
  <w:style w:type="character" w:styleId="10">
    <w:name w:val="FollowedHyperlink"/>
    <w:basedOn w:val="6"/>
    <w:qFormat/>
    <w:uiPriority w:val="0"/>
    <w:rPr>
      <w:color w:val="800080"/>
      <w:u w:val="none"/>
    </w:rPr>
  </w:style>
  <w:style w:type="character" w:styleId="11">
    <w:name w:val="HTML Definition"/>
    <w:basedOn w:val="6"/>
    <w:qFormat/>
    <w:uiPriority w:val="0"/>
  </w:style>
  <w:style w:type="character" w:styleId="12">
    <w:name w:val="HTML Variable"/>
    <w:basedOn w:val="6"/>
    <w:qFormat/>
    <w:uiPriority w:val="0"/>
  </w:style>
  <w:style w:type="character" w:styleId="13">
    <w:name w:val="Hyperlink"/>
    <w:basedOn w:val="6"/>
    <w:qFormat/>
    <w:uiPriority w:val="0"/>
    <w:rPr>
      <w:color w:val="0000FF"/>
      <w:u w:val="none"/>
    </w:rPr>
  </w:style>
  <w:style w:type="character" w:styleId="14">
    <w:name w:val="HTML Code"/>
    <w:basedOn w:val="6"/>
    <w:qFormat/>
    <w:uiPriority w:val="0"/>
    <w:rPr>
      <w:rFonts w:ascii="Courier New" w:hAnsi="Courier New"/>
      <w:sz w:val="20"/>
    </w:rPr>
  </w:style>
  <w:style w:type="character" w:styleId="15">
    <w:name w:val="HTML Cite"/>
    <w:basedOn w:val="6"/>
    <w:qFormat/>
    <w:uiPriority w:val="0"/>
  </w:style>
  <w:style w:type="paragraph" w:customStyle="1" w:styleId="16">
    <w:name w:val=" Char"/>
    <w:basedOn w:val="1"/>
    <w:link w:val="6"/>
    <w:qFormat/>
    <w:uiPriority w:val="0"/>
    <w:rPr>
      <w:rFonts w:ascii="宋体" w:hAnsi="宋体" w:cs="Courier New"/>
      <w:sz w:val="32"/>
      <w:szCs w:val="32"/>
    </w:rPr>
  </w:style>
  <w:style w:type="paragraph" w:customStyle="1" w:styleId="17">
    <w:name w:val="p0"/>
    <w:basedOn w:val="1"/>
    <w:qFormat/>
    <w:uiPriority w:val="0"/>
    <w:pPr>
      <w:widowControl/>
    </w:pPr>
    <w:rPr>
      <w:kern w:val="0"/>
      <w:szCs w:val="21"/>
    </w:rPr>
  </w:style>
  <w:style w:type="character" w:customStyle="1" w:styleId="18">
    <w:name w:val="item-middle"/>
    <w:basedOn w:val="6"/>
    <w:qFormat/>
    <w:uiPriority w:val="0"/>
  </w:style>
  <w:style w:type="character" w:customStyle="1" w:styleId="19">
    <w:name w:val="image"/>
    <w:basedOn w:val="6"/>
    <w:qFormat/>
    <w:uiPriority w:val="0"/>
  </w:style>
  <w:style w:type="character" w:customStyle="1" w:styleId="20">
    <w:name w:val="image2"/>
    <w:basedOn w:val="6"/>
    <w:qFormat/>
    <w:uiPriority w:val="0"/>
  </w:style>
  <w:style w:type="character" w:customStyle="1" w:styleId="21">
    <w:name w:val="image3"/>
    <w:basedOn w:val="6"/>
    <w:qFormat/>
    <w:uiPriority w:val="0"/>
  </w:style>
  <w:style w:type="character" w:customStyle="1" w:styleId="22">
    <w:name w:val="ui-state-hover21"/>
    <w:basedOn w:val="6"/>
    <w:qFormat/>
    <w:uiPriority w:val="0"/>
  </w:style>
  <w:style w:type="character" w:customStyle="1" w:styleId="23">
    <w:name w:val="ui-state-active5"/>
    <w:basedOn w:val="6"/>
    <w:qFormat/>
    <w:uiPriority w:val="0"/>
  </w:style>
  <w:style w:type="character" w:customStyle="1" w:styleId="24">
    <w:name w:val="ui-state-default12"/>
    <w:basedOn w:val="6"/>
    <w:qFormat/>
    <w:uiPriority w:val="0"/>
  </w:style>
  <w:style w:type="character" w:customStyle="1" w:styleId="25">
    <w:name w:val="ui-state-default13"/>
    <w:basedOn w:val="6"/>
    <w:qFormat/>
    <w:uiPriority w:val="0"/>
  </w:style>
  <w:style w:type="character" w:customStyle="1" w:styleId="26">
    <w:name w:val="clicked1"/>
    <w:basedOn w:val="6"/>
    <w:qFormat/>
    <w:uiPriority w:val="0"/>
    <w:rPr>
      <w:color w:val="000000"/>
    </w:rPr>
  </w:style>
  <w:style w:type="character" w:customStyle="1" w:styleId="27">
    <w:name w:val="clicked2"/>
    <w:basedOn w:val="6"/>
    <w:qFormat/>
    <w:uiPriority w:val="0"/>
  </w:style>
  <w:style w:type="character" w:customStyle="1" w:styleId="28">
    <w:name w:val="clicked3"/>
    <w:basedOn w:val="6"/>
    <w:qFormat/>
    <w:uiPriority w:val="0"/>
  </w:style>
  <w:style w:type="character" w:customStyle="1" w:styleId="29">
    <w:name w:val="button-hover"/>
    <w:basedOn w:val="6"/>
    <w:qFormat/>
    <w:uiPriority w:val="0"/>
  </w:style>
  <w:style w:type="character" w:customStyle="1" w:styleId="30">
    <w:name w:val="button-hover1"/>
    <w:basedOn w:val="6"/>
    <w:qFormat/>
    <w:uiPriority w:val="0"/>
  </w:style>
  <w:style w:type="character" w:customStyle="1" w:styleId="31">
    <w:name w:val="group"/>
    <w:basedOn w:val="6"/>
    <w:qFormat/>
    <w:uiPriority w:val="0"/>
  </w:style>
  <w:style w:type="character" w:customStyle="1" w:styleId="32">
    <w:name w:val="directchildrenspan"/>
    <w:basedOn w:val="6"/>
    <w:qFormat/>
    <w:uiPriority w:val="0"/>
  </w:style>
  <w:style w:type="character" w:customStyle="1" w:styleId="33">
    <w:name w:val="imgspan"/>
    <w:basedOn w:val="6"/>
    <w:qFormat/>
    <w:uiPriority w:val="0"/>
  </w:style>
  <w:style w:type="character" w:customStyle="1" w:styleId="34">
    <w:name w:val="ui-icon34"/>
    <w:basedOn w:val="6"/>
    <w:qFormat/>
    <w:uiPriority w:val="0"/>
  </w:style>
  <w:style w:type="character" w:customStyle="1" w:styleId="35">
    <w:name w:val="newstitle"/>
    <w:basedOn w:val="6"/>
    <w:qFormat/>
    <w:uiPriority w:val="0"/>
    <w:rPr>
      <w:b/>
      <w:color w:val="000000"/>
      <w:sz w:val="24"/>
      <w:szCs w:val="24"/>
    </w:rPr>
  </w:style>
  <w:style w:type="character" w:customStyle="1" w:styleId="36">
    <w:name w:val="ui-state-hover"/>
    <w:basedOn w:val="6"/>
    <w:qFormat/>
    <w:uiPriority w:val="0"/>
  </w:style>
  <w:style w:type="character" w:customStyle="1" w:styleId="37">
    <w:name w:val="image1"/>
    <w:basedOn w:val="6"/>
    <w:qFormat/>
    <w:uiPriority w:val="0"/>
  </w:style>
  <w:style w:type="character" w:customStyle="1" w:styleId="38">
    <w:name w:val="clicked"/>
    <w:basedOn w:val="6"/>
    <w:qFormat/>
    <w:uiPriority w:val="0"/>
  </w:style>
  <w:style w:type="character" w:customStyle="1" w:styleId="39">
    <w:name w:val="ui-state-active"/>
    <w:basedOn w:val="6"/>
    <w:qFormat/>
    <w:uiPriority w:val="0"/>
  </w:style>
  <w:style w:type="character" w:customStyle="1" w:styleId="40">
    <w:name w:val="ui-icon33"/>
    <w:basedOn w:val="6"/>
    <w:qFormat/>
    <w:uiPriority w:val="0"/>
  </w:style>
  <w:style w:type="character" w:customStyle="1" w:styleId="41">
    <w:name w:val="ui-state-active6"/>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3955</Words>
  <Characters>4421</Characters>
  <Lines>0</Lines>
  <Paragraphs>0</Paragraphs>
  <TotalTime>11</TotalTime>
  <ScaleCrop>false</ScaleCrop>
  <LinksUpToDate>false</LinksUpToDate>
  <CharactersWithSpaces>4462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2014-11-07T20:08:00Z</dcterms:created>
  <dc:creator>chengws</dc:creator>
  <cp:lastModifiedBy>陈长安</cp:lastModifiedBy>
  <cp:lastPrinted>2023-03-20T16:11:00Z</cp:lastPrinted>
  <dcterms:modified xsi:type="dcterms:W3CDTF">2023-04-07T01:31:09Z</dcterms:modified>
  <dc:title>附件1：省级部门预算公开说明样式</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7F3086E90EFF4D0DB3F87C311C62FD7A</vt:lpwstr>
  </property>
</Properties>
</file>