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lang w:val="en"/>
        </w:rPr>
      </w:pPr>
    </w:p>
    <w:p>
      <w:pPr>
        <w:keepNext w:val="0"/>
        <w:keepLines w:val="0"/>
        <w:pageBreakBefore w:val="0"/>
        <w:kinsoku/>
        <w:wordWrap/>
        <w:overflowPunct/>
        <w:topLinePunct w:val="0"/>
        <w:bidi w:val="0"/>
        <w:spacing w:beforeLines="0" w:afterLines="0" w:line="560" w:lineRule="exact"/>
        <w:ind w:firstLine="470" w:firstLineChars="100"/>
        <w:jc w:val="both"/>
        <w:textAlignment w:val="auto"/>
        <w:rPr>
          <w:rFonts w:hint="eastAsia" w:ascii="黑体" w:hAnsi="黑体" w:eastAsia="黑体" w:cs="黑体"/>
          <w:bCs/>
          <w:spacing w:val="15"/>
          <w:sz w:val="44"/>
          <w:szCs w:val="44"/>
          <w:highlight w:val="none"/>
        </w:rPr>
      </w:pPr>
      <w:r>
        <w:rPr>
          <w:rFonts w:hint="eastAsia" w:ascii="黑体" w:hAnsi="黑体" w:eastAsia="黑体" w:cs="黑体"/>
          <w:bCs/>
          <w:spacing w:val="15"/>
          <w:sz w:val="44"/>
          <w:szCs w:val="44"/>
          <w:highlight w:val="none"/>
          <w:lang w:val="en"/>
        </w:rPr>
        <w:t>丽水</w:t>
      </w:r>
      <w:r>
        <w:rPr>
          <w:rFonts w:hint="eastAsia" w:ascii="黑体" w:hAnsi="黑体" w:eastAsia="黑体" w:cs="黑体"/>
          <w:bCs/>
          <w:spacing w:val="15"/>
          <w:sz w:val="44"/>
          <w:szCs w:val="44"/>
          <w:highlight w:val="none"/>
          <w:lang w:val="en-US" w:eastAsia="zh-CN"/>
        </w:rPr>
        <w:t>南城实验幼儿园2023</w:t>
      </w:r>
      <w:r>
        <w:rPr>
          <w:rFonts w:hint="eastAsia" w:ascii="黑体" w:hAnsi="黑体" w:eastAsia="黑体" w:cs="黑体"/>
          <w:bCs/>
          <w:spacing w:val="15"/>
          <w:sz w:val="44"/>
          <w:szCs w:val="44"/>
          <w:highlight w:val="none"/>
        </w:rPr>
        <w:t>年</w:t>
      </w:r>
      <w:r>
        <w:rPr>
          <w:rFonts w:hint="eastAsia" w:ascii="黑体" w:hAnsi="黑体" w:eastAsia="黑体" w:cs="黑体"/>
          <w:bCs/>
          <w:spacing w:val="15"/>
          <w:sz w:val="44"/>
          <w:szCs w:val="44"/>
          <w:highlight w:val="none"/>
          <w:lang w:val="en-US" w:eastAsia="zh-CN"/>
        </w:rPr>
        <w:t>单位</w:t>
      </w:r>
      <w:r>
        <w:rPr>
          <w:rFonts w:hint="eastAsia" w:ascii="黑体" w:hAnsi="黑体" w:eastAsia="黑体" w:cs="黑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8"/>
          <w:rFonts w:hint="eastAsia" w:ascii="黑体" w:eastAsia="黑体"/>
          <w:b w:val="0"/>
          <w:color w:val="000000"/>
          <w:sz w:val="32"/>
          <w:szCs w:val="32"/>
          <w:highlight w:val="none"/>
          <w:lang w:eastAsia="zh-CN"/>
        </w:rPr>
        <w:sectPr>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center"/>
        <w:textAlignment w:val="auto"/>
        <w:outlineLvl w:val="9"/>
        <w:rPr>
          <w:rFonts w:hint="eastAsia"/>
          <w:lang w:eastAsia="zh-CN"/>
        </w:rPr>
      </w:pPr>
      <w:r>
        <w:rPr>
          <w:rStyle w:val="8"/>
          <w:rFonts w:hint="eastAsia" w:ascii="黑体" w:eastAsia="黑体"/>
          <w:b w:val="0"/>
          <w:color w:val="000000"/>
          <w:sz w:val="32"/>
          <w:szCs w:val="32"/>
          <w:highlight w:val="none"/>
          <w:lang w:eastAsia="zh-CN"/>
        </w:rPr>
        <w:t>目录</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丽水南城实验幼儿园单位</w:t>
      </w:r>
      <w:r>
        <w:rPr>
          <w:rStyle w:val="8"/>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r>
        <w:rPr>
          <w:rFonts w:hint="eastAsia" w:ascii="楷体_GB2312" w:hAnsi="楷体_GB2312" w:eastAsia="楷体_GB2312" w:cs="楷体_GB2312"/>
          <w:b w:val="0"/>
          <w:bCs/>
          <w:sz w:val="32"/>
          <w:szCs w:val="32"/>
          <w:highlight w:val="none"/>
        </w:rPr>
        <w:br w:type="textWrapping"/>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w:t>
      </w:r>
      <w:r>
        <w:rPr>
          <w:rFonts w:hint="eastAsia" w:ascii="楷体_GB2312" w:hAnsi="楷体_GB2312" w:eastAsia="楷体_GB2312" w:cs="楷体_GB2312"/>
          <w:b w:val="0"/>
          <w:bCs/>
          <w:sz w:val="32"/>
          <w:szCs w:val="32"/>
          <w:highlight w:val="none"/>
          <w:lang w:val="en-US" w:eastAsia="zh-CN"/>
        </w:rPr>
        <w:t>丽水南城实验幼儿园2023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丽水南城实验幼儿园单位</w:t>
      </w:r>
      <w:r>
        <w:rPr>
          <w:rStyle w:val="8"/>
          <w:rFonts w:hint="eastAsia" w:ascii="黑体" w:eastAsia="黑体"/>
          <w:b w:val="0"/>
          <w:color w:val="000000"/>
          <w:sz w:val="32"/>
          <w:szCs w:val="32"/>
          <w:highlight w:val="none"/>
          <w:lang w:eastAsia="zh-CN"/>
        </w:rPr>
        <w:t>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单位国有资本经营预算支出表</w:t>
      </w:r>
    </w:p>
    <w:p>
      <w:pPr>
        <w:autoSpaceDE w:val="0"/>
        <w:autoSpaceDN w:val="0"/>
        <w:adjustRightInd w:val="0"/>
        <w:ind w:leftChars="200"/>
        <w:jc w:val="left"/>
        <w:rPr>
          <w:rStyle w:val="8"/>
          <w:rFonts w:hint="eastAsia" w:ascii="黑体" w:eastAsia="黑体"/>
          <w:b w:val="0"/>
          <w:color w:val="000000"/>
          <w:sz w:val="32"/>
          <w:szCs w:val="32"/>
          <w:highlight w:val="none"/>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单位项目支出预算表</w:t>
      </w: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（一）主要职能</w:t>
      </w:r>
    </w:p>
    <w:p>
      <w:pPr>
        <w:spacing w:line="560" w:lineRule="exact"/>
        <w:ind w:firstLine="627" w:firstLineChars="196"/>
        <w:rPr>
          <w:rFonts w:hint="eastAsia" w:ascii="仿宋_GB2312" w:eastAsia="仿宋_GB2312"/>
          <w:bCs/>
          <w:sz w:val="32"/>
          <w:szCs w:val="32"/>
        </w:rPr>
      </w:pPr>
      <w:r>
        <w:rPr>
          <w:rFonts w:hint="eastAsia" w:ascii="仿宋_GB2312" w:eastAsia="仿宋_GB2312"/>
          <w:bCs/>
          <w:sz w:val="32"/>
          <w:szCs w:val="32"/>
          <w:highlight w:val="none"/>
        </w:rPr>
        <w:t>1.</w:t>
      </w:r>
      <w:r>
        <w:rPr>
          <w:rFonts w:hint="eastAsia" w:ascii="仿宋_GB2312" w:eastAsia="仿宋_GB2312"/>
          <w:bCs/>
          <w:sz w:val="32"/>
          <w:szCs w:val="32"/>
        </w:rPr>
        <w:t>对3至6周岁幼儿实施保育和教育，促进幼儿德、智、体、美、劳全面发展。</w:t>
      </w:r>
    </w:p>
    <w:p>
      <w:pPr>
        <w:spacing w:line="560" w:lineRule="exact"/>
        <w:ind w:firstLine="627" w:firstLineChars="196"/>
        <w:rPr>
          <w:rFonts w:hint="eastAsia" w:ascii="仿宋_GB2312" w:eastAsia="仿宋_GB2312"/>
          <w:bCs/>
          <w:sz w:val="32"/>
          <w:szCs w:val="32"/>
        </w:rPr>
      </w:pPr>
      <w:r>
        <w:rPr>
          <w:rFonts w:hint="eastAsia" w:ascii="仿宋_GB2312" w:eastAsia="仿宋_GB2312"/>
          <w:bCs/>
          <w:sz w:val="32"/>
          <w:szCs w:val="32"/>
        </w:rPr>
        <w:t>2.制定幼儿园的发展规划、年度计划、科室计划，科学合理使用经费。</w:t>
      </w:r>
    </w:p>
    <w:p>
      <w:pPr>
        <w:spacing w:line="560" w:lineRule="exact"/>
        <w:ind w:firstLine="627" w:firstLineChars="196"/>
        <w:rPr>
          <w:rFonts w:hint="eastAsia" w:eastAsia="仿宋_GB2312"/>
        </w:rPr>
      </w:pPr>
      <w:r>
        <w:rPr>
          <w:rFonts w:hint="eastAsia" w:ascii="仿宋_GB2312" w:eastAsia="仿宋_GB2312"/>
          <w:bCs/>
          <w:sz w:val="32"/>
          <w:szCs w:val="32"/>
        </w:rPr>
        <w:t>3.开展教科研工作，推进生态课程建设，有计划、有组织、多形式地开展培训，提高教师的业务水平和教育教学能力。</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spacing w:line="560" w:lineRule="exact"/>
        <w:ind w:firstLine="627" w:firstLineChars="196"/>
        <w:rPr>
          <w:rFonts w:hint="eastAsia" w:ascii="仿宋_GB2312" w:hAnsi="仿宋_GB2312" w:eastAsia="仿宋_GB2312" w:cs="仿宋_GB2312"/>
          <w:color w:val="auto"/>
          <w:sz w:val="32"/>
          <w:szCs w:val="32"/>
          <w:highlight w:val="none"/>
        </w:rPr>
      </w:pPr>
      <w:r>
        <w:rPr>
          <w:rFonts w:hint="eastAsia" w:ascii="仿宋_GB2312" w:eastAsia="仿宋_GB2312"/>
          <w:bCs/>
          <w:sz w:val="32"/>
          <w:szCs w:val="32"/>
          <w:highlight w:val="none"/>
        </w:rPr>
        <w:t>从预算单位构成看</w:t>
      </w:r>
      <w:r>
        <w:rPr>
          <w:rFonts w:hint="eastAsia" w:ascii="仿宋_GB2312" w:eastAsia="仿宋_GB2312"/>
          <w:bCs/>
          <w:sz w:val="32"/>
          <w:szCs w:val="32"/>
          <w:highlight w:val="none"/>
          <w:lang w:eastAsia="zh-CN"/>
        </w:rPr>
        <w:t>，</w:t>
      </w:r>
      <w:r>
        <w:rPr>
          <w:rFonts w:hint="eastAsia" w:ascii="仿宋_GB2312" w:eastAsia="仿宋_GB2312"/>
          <w:bCs/>
          <w:sz w:val="32"/>
          <w:szCs w:val="32"/>
        </w:rPr>
        <w:t>丽水南城实验幼儿园内设10个职能处室，分别为：园长室、教学副园长室、后勤副园长室、办公室、教科室、后勤处、教务处、信息处、财务室、保健室。</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丽水南城实验幼儿园单位</w:t>
      </w:r>
      <w:r>
        <w:rPr>
          <w:rStyle w:val="8"/>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按照</w:t>
      </w:r>
      <w:r>
        <w:rPr>
          <w:rFonts w:hint="eastAsia" w:ascii="仿宋_GB2312" w:eastAsia="仿宋_GB2312" w:cs="Times New Roman"/>
          <w:b w:val="0"/>
          <w:bCs/>
          <w:sz w:val="32"/>
          <w:szCs w:val="32"/>
          <w:highlight w:val="none"/>
          <w:lang w:val="en-US" w:eastAsia="zh-CN"/>
        </w:rPr>
        <w:t>综合预算的原则，</w:t>
      </w:r>
      <w:r>
        <w:rPr>
          <w:rFonts w:hint="eastAsia" w:ascii="仿宋_GB2312" w:eastAsia="仿宋_GB2312"/>
          <w:color w:val="000000"/>
          <w:sz w:val="32"/>
          <w:szCs w:val="32"/>
          <w:highlight w:val="none"/>
          <w:lang w:val="en-US" w:eastAsia="zh-CN"/>
        </w:rPr>
        <w:t>丽水南城实验幼儿园</w:t>
      </w:r>
      <w:r>
        <w:rPr>
          <w:rFonts w:hint="eastAsia" w:ascii="仿宋_GB2312" w:eastAsia="仿宋_GB2312"/>
          <w:color w:val="000000"/>
          <w:sz w:val="32"/>
          <w:szCs w:val="32"/>
          <w:highlight w:val="none"/>
          <w:lang w:eastAsia="zh-CN"/>
        </w:rPr>
        <w:t>所有收入和支出均纳入</w:t>
      </w:r>
      <w:r>
        <w:rPr>
          <w:rFonts w:hint="eastAsia" w:ascii="仿宋_GB2312" w:eastAsia="仿宋_GB2312"/>
          <w:color w:val="000000"/>
          <w:sz w:val="32"/>
          <w:szCs w:val="32"/>
          <w:highlight w:val="none"/>
          <w:lang w:val="en-US" w:eastAsia="zh-CN"/>
        </w:rPr>
        <w:t>单位</w:t>
      </w:r>
      <w:r>
        <w:rPr>
          <w:rFonts w:hint="eastAsia" w:ascii="仿宋_GB2312" w:eastAsia="仿宋_GB2312"/>
          <w:color w:val="000000"/>
          <w:sz w:val="32"/>
          <w:szCs w:val="32"/>
          <w:highlight w:val="none"/>
          <w:lang w:eastAsia="zh-CN"/>
        </w:rPr>
        <w:t>预算管理。收入包括：一般公共预算拨款收入、其他收入、上年结转</w:t>
      </w:r>
      <w:r>
        <w:rPr>
          <w:rFonts w:hint="eastAsia" w:ascii="仿宋_GB2312" w:eastAsia="仿宋_GB2312"/>
          <w:color w:val="000000"/>
          <w:sz w:val="32"/>
          <w:szCs w:val="32"/>
          <w:highlight w:val="none"/>
          <w:lang w:val="en-US" w:eastAsia="zh-CN"/>
        </w:rPr>
        <w:t>结余</w:t>
      </w:r>
      <w:r>
        <w:rPr>
          <w:rFonts w:hint="eastAsia" w:ascii="仿宋_GB2312" w:eastAsia="仿宋_GB2312"/>
          <w:color w:val="000000"/>
          <w:sz w:val="32"/>
          <w:szCs w:val="32"/>
          <w:highlight w:val="none"/>
          <w:lang w:eastAsia="zh-CN"/>
        </w:rPr>
        <w:t>；支出包括：教育支出、社会保障和就业支出、卫生健康支出。</w:t>
      </w:r>
      <w:r>
        <w:rPr>
          <w:rFonts w:hint="eastAsia" w:ascii="仿宋_GB2312" w:eastAsia="仿宋_GB2312"/>
          <w:color w:val="000000"/>
          <w:sz w:val="32"/>
          <w:szCs w:val="32"/>
          <w:highlight w:val="none"/>
          <w:lang w:val="en-US" w:eastAsia="zh-CN"/>
        </w:rPr>
        <w:t>丽水南城实验幼儿园2023年收支总预算2640.63万元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丽水南城实验幼儿园2023</w:t>
      </w:r>
      <w:r>
        <w:rPr>
          <w:rFonts w:hint="eastAsia" w:ascii="仿宋_GB2312" w:hAnsi="仿宋_GB2312" w:eastAsia="仿宋_GB2312" w:cs="仿宋_GB2312"/>
          <w:color w:val="000000"/>
          <w:sz w:val="32"/>
          <w:szCs w:val="32"/>
          <w:highlight w:val="none"/>
        </w:rPr>
        <w:t>年收入预算</w:t>
      </w:r>
      <w:r>
        <w:rPr>
          <w:rFonts w:hint="eastAsia" w:ascii="仿宋_GB2312" w:hAnsi="仿宋_GB2312" w:eastAsia="仿宋_GB2312" w:cs="仿宋_GB2312"/>
          <w:color w:val="000000"/>
          <w:sz w:val="32"/>
          <w:szCs w:val="32"/>
          <w:highlight w:val="none"/>
          <w:lang w:val="en-US" w:eastAsia="zh-CN"/>
        </w:rPr>
        <w:t>2640.63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比上年执行数增加</w:t>
      </w:r>
      <w:r>
        <w:rPr>
          <w:rFonts w:hint="eastAsia" w:ascii="仿宋_GB2312" w:hAnsi="仿宋_GB2312" w:eastAsia="仿宋_GB2312" w:cs="仿宋_GB2312"/>
          <w:color w:val="000000"/>
          <w:sz w:val="32"/>
          <w:szCs w:val="32"/>
          <w:highlight w:val="none"/>
          <w:lang w:val="en-US" w:eastAsia="zh-CN"/>
        </w:rPr>
        <w:t>624.70万元，</w:t>
      </w:r>
      <w:r>
        <w:rPr>
          <w:rFonts w:hint="eastAsia" w:ascii="仿宋_GB2312" w:hAnsi="仿宋_GB2312" w:eastAsia="仿宋_GB2312" w:cs="仿宋_GB2312"/>
          <w:color w:val="000000"/>
          <w:sz w:val="32"/>
          <w:highlight w:val="none"/>
        </w:rPr>
        <w:t>增</w:t>
      </w:r>
      <w:r>
        <w:rPr>
          <w:rFonts w:hint="eastAsia" w:ascii="仿宋_GB2312" w:hAnsi="仿宋_GB2312" w:eastAsia="仿宋_GB2312" w:cs="仿宋_GB2312"/>
          <w:color w:val="000000"/>
          <w:sz w:val="32"/>
          <w:szCs w:val="32"/>
          <w:highlight w:val="none"/>
          <w:lang w:val="en-US" w:eastAsia="zh-CN"/>
        </w:rPr>
        <w:t>长31.0</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主要是2023年项目资金增加（劳动合同制教师（教育提质）、放学后园内托管服务费等）。</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其中：</w:t>
      </w:r>
      <w:r>
        <w:rPr>
          <w:rFonts w:hint="eastAsia" w:ascii="仿宋_GB2312" w:eastAsia="仿宋_GB2312"/>
          <w:color w:val="000000"/>
          <w:sz w:val="32"/>
          <w:szCs w:val="32"/>
          <w:highlight w:val="none"/>
          <w:lang w:eastAsia="zh-CN"/>
        </w:rPr>
        <w:t>一般公共预算拨款收入</w:t>
      </w:r>
      <w:r>
        <w:rPr>
          <w:rFonts w:hint="eastAsia" w:ascii="仿宋_GB2312" w:eastAsia="仿宋_GB2312"/>
          <w:color w:val="000000"/>
          <w:sz w:val="32"/>
          <w:szCs w:val="32"/>
          <w:highlight w:val="none"/>
          <w:lang w:val="en-US" w:eastAsia="zh-CN"/>
        </w:rPr>
        <w:t>2599.72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上年结转</w:t>
      </w:r>
      <w:r>
        <w:rPr>
          <w:rFonts w:hint="eastAsia" w:ascii="仿宋_GB2312" w:eastAsia="仿宋_GB2312"/>
          <w:color w:val="000000"/>
          <w:sz w:val="32"/>
          <w:szCs w:val="32"/>
          <w:highlight w:val="none"/>
          <w:lang w:val="en-US" w:eastAsia="zh-CN"/>
        </w:rPr>
        <w:t>71.60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，占</w:t>
      </w:r>
      <w:r>
        <w:rPr>
          <w:rFonts w:hint="eastAsia" w:ascii="仿宋_GB2312" w:eastAsia="仿宋_GB2312"/>
          <w:color w:val="000000"/>
          <w:sz w:val="32"/>
          <w:szCs w:val="32"/>
          <w:highlight w:val="none"/>
          <w:lang w:val="en-US" w:eastAsia="zh-CN"/>
        </w:rPr>
        <w:t>98.5</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其他收入</w:t>
      </w:r>
      <w:r>
        <w:rPr>
          <w:rFonts w:hint="eastAsia" w:ascii="仿宋_GB2312" w:eastAsia="仿宋_GB2312"/>
          <w:color w:val="000000"/>
          <w:sz w:val="32"/>
          <w:szCs w:val="32"/>
          <w:highlight w:val="none"/>
          <w:lang w:val="en-US" w:eastAsia="zh-CN"/>
        </w:rPr>
        <w:t>40.91</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1.5</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rPr>
        <w:br w:type="textWrapping"/>
      </w:r>
      <w:r>
        <w:rPr>
          <w:rFonts w:hint="eastAsia" w:ascii="楷体_GB2312" w:hAnsi="楷体_GB2312" w:eastAsia="楷体_GB2312" w:cs="楷体_GB2312"/>
          <w:b w:val="0"/>
          <w:bCs/>
          <w:color w:val="000000"/>
          <w:sz w:val="32"/>
          <w:szCs w:val="32"/>
          <w:highlight w:val="none"/>
        </w:rPr>
        <w:t>　　（</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仿宋_GB2312" w:hAnsi="仿宋_GB2312" w:eastAsia="仿宋_GB2312" w:cs="仿宋_GB2312"/>
          <w:color w:val="000000"/>
          <w:sz w:val="32"/>
          <w:szCs w:val="32"/>
          <w:highlight w:val="none"/>
          <w:lang w:val="en-US" w:eastAsia="zh-CN"/>
        </w:rPr>
        <w:t>丽水南城实验幼儿园2023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lang w:val="en-US" w:eastAsia="zh-CN"/>
        </w:rPr>
        <w:t>2640.63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w:t>
      </w:r>
      <w:r>
        <w:rPr>
          <w:rFonts w:hint="eastAsia" w:ascii="仿宋_GB2312" w:hAnsi="仿宋_GB2312" w:eastAsia="仿宋_GB2312" w:cs="仿宋_GB2312"/>
          <w:color w:val="000000"/>
          <w:sz w:val="32"/>
          <w:szCs w:val="32"/>
          <w:highlight w:val="none"/>
          <w:lang w:val="en-US" w:eastAsia="zh-CN"/>
        </w:rPr>
        <w:t>加624.74万元，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31.0</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主要是2023年9月预计开办新园区，人员经费、公用经费等基本运转支出增加 。</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2524.80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73.33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42.50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2.</w:t>
      </w:r>
      <w:r>
        <w:rPr>
          <w:rFonts w:hint="eastAsia" w:ascii="仿宋_GB2312" w:eastAsia="仿宋_GB2312"/>
          <w:color w:val="000000"/>
          <w:sz w:val="32"/>
          <w:szCs w:val="32"/>
          <w:highlight w:val="none"/>
        </w:rPr>
        <w:t>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lang w:val="en-US" w:eastAsia="zh-CN"/>
        </w:rPr>
        <w:t>934.13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35.4</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val="en-US" w:eastAsia="zh-CN"/>
        </w:rPr>
        <w:t>123.12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4.7</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1583.38</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59.9</w:t>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val="en-US" w:eastAsia="zh-CN"/>
        </w:rPr>
        <w:t>0.00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丽水南城实验幼儿园2023年财政拨款收支总预算2599.72万元。收入包括：一般公共预算2599.72万元；支出包括：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2483.90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73.33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42.50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丽水南城实验幼儿园2023年一般公共预算拨款2599.72万元，比上年执行数增加1381.69万元，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113.4</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主要是自2023年起，幼儿园的保育费收入（事业收入）纳入一般公共预算管理；2023年项目资金增加（劳动合同制教师（教育提质）等）。</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2483.90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95.6</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hAnsi="仿宋_GB2312" w:eastAsia="仿宋_GB2312" w:cs="仿宋_GB2312"/>
          <w:color w:val="000000"/>
          <w:sz w:val="32"/>
          <w:szCs w:val="32"/>
          <w:highlight w:val="none"/>
          <w:lang w:val="en-US" w:eastAsia="zh-CN"/>
        </w:rPr>
        <w:t>73.33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2.8</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val="en-US" w:eastAsia="zh-CN"/>
        </w:rPr>
        <w:t>42.50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1.6</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3.一般公共预算拨款具体使用情况。</w:t>
      </w:r>
    </w:p>
    <w:p>
      <w:pPr>
        <w:pStyle w:val="2"/>
        <w:ind w:firstLine="640" w:firstLineChars="200"/>
        <w:rPr>
          <w:rFonts w:hint="eastAsia"/>
          <w:color w:val="auto"/>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eastAsia="zh-CN"/>
        </w:rPr>
        <w:t>）</w:t>
      </w:r>
      <w:r>
        <w:rPr>
          <w:rFonts w:cs="仿宋_GB2312"/>
          <w:sz w:val="32"/>
          <w:szCs w:val="32"/>
          <w:highlight w:val="none"/>
        </w:rPr>
        <w:t>教育支出（类）普通教育（款）学前教育（项）</w:t>
      </w:r>
      <w:r>
        <w:rPr>
          <w:rFonts w:hint="eastAsia" w:cs="仿宋_GB2312"/>
          <w:color w:val="000000"/>
          <w:sz w:val="32"/>
          <w:szCs w:val="32"/>
          <w:highlight w:val="none"/>
          <w:lang w:val="en-US" w:eastAsia="zh-CN"/>
        </w:rPr>
        <w:t>2423.17</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auto"/>
          <w:sz w:val="32"/>
          <w:szCs w:val="32"/>
          <w:highlight w:val="none"/>
        </w:rPr>
        <w:t>主</w:t>
      </w:r>
      <w:r>
        <w:rPr>
          <w:rFonts w:hint="eastAsia" w:ascii="仿宋_GB2312" w:hAnsi="仿宋_GB2312" w:eastAsia="仿宋_GB2312" w:cs="仿宋_GB2312"/>
          <w:b w:val="0"/>
          <w:bCs w:val="0"/>
          <w:color w:val="auto"/>
          <w:sz w:val="32"/>
          <w:szCs w:val="32"/>
          <w:highlight w:val="none"/>
        </w:rPr>
        <w:t>要用</w:t>
      </w:r>
      <w:r>
        <w:rPr>
          <w:rFonts w:hint="eastAsia" w:ascii="仿宋_GB2312" w:hAnsi="仿宋_GB2312" w:eastAsia="仿宋_GB2312" w:cs="仿宋_GB2312"/>
          <w:color w:val="auto"/>
          <w:sz w:val="32"/>
          <w:szCs w:val="32"/>
          <w:highlight w:val="none"/>
        </w:rPr>
        <w:t>于</w:t>
      </w:r>
      <w:r>
        <w:rPr>
          <w:color w:val="auto"/>
          <w:sz w:val="32"/>
          <w:szCs w:val="32"/>
          <w:highlight w:val="none"/>
        </w:rPr>
        <w:t>幼儿园人员经费、公用经费等基本运转支出</w:t>
      </w:r>
      <w:r>
        <w:rPr>
          <w:rFonts w:hint="eastAsia"/>
          <w:color w:val="auto"/>
          <w:sz w:val="32"/>
          <w:szCs w:val="32"/>
          <w:highlight w:val="none"/>
          <w:lang w:eastAsia="zh-CN"/>
        </w:rPr>
        <w:t>；</w:t>
      </w:r>
      <w:r>
        <w:rPr>
          <w:color w:val="auto"/>
          <w:sz w:val="32"/>
          <w:szCs w:val="32"/>
          <w:highlight w:val="none"/>
        </w:rPr>
        <w:t>幼儿园</w:t>
      </w:r>
      <w:r>
        <w:rPr>
          <w:rFonts w:hint="eastAsia"/>
          <w:color w:val="auto"/>
          <w:sz w:val="32"/>
          <w:szCs w:val="32"/>
          <w:highlight w:val="none"/>
          <w:lang w:val="en-US" w:eastAsia="zh-CN"/>
        </w:rPr>
        <w:t>劳动合同制</w:t>
      </w:r>
      <w:r>
        <w:rPr>
          <w:color w:val="auto"/>
          <w:sz w:val="32"/>
          <w:szCs w:val="32"/>
          <w:highlight w:val="none"/>
        </w:rPr>
        <w:t>教师</w:t>
      </w:r>
      <w:r>
        <w:rPr>
          <w:rFonts w:hint="eastAsia"/>
          <w:color w:val="auto"/>
          <w:sz w:val="32"/>
          <w:szCs w:val="32"/>
          <w:highlight w:val="none"/>
          <w:lang w:val="en-US" w:eastAsia="zh-CN"/>
        </w:rPr>
        <w:t>劳务费支出；</w:t>
      </w:r>
      <w:r>
        <w:rPr>
          <w:color w:val="auto"/>
          <w:sz w:val="32"/>
          <w:szCs w:val="32"/>
          <w:highlight w:val="none"/>
        </w:rPr>
        <w:t>幼儿园教师专业能力提升等各类培训支出</w:t>
      </w:r>
      <w:r>
        <w:rPr>
          <w:rFonts w:hint="eastAsia"/>
          <w:color w:val="auto"/>
          <w:sz w:val="32"/>
          <w:szCs w:val="32"/>
          <w:highlight w:val="none"/>
          <w:lang w:eastAsia="zh-CN"/>
        </w:rPr>
        <w:t>；</w:t>
      </w:r>
      <w:r>
        <w:rPr>
          <w:rFonts w:hint="eastAsia"/>
          <w:color w:val="auto"/>
          <w:sz w:val="32"/>
          <w:szCs w:val="32"/>
          <w:highlight w:val="none"/>
          <w:lang w:val="en-US" w:eastAsia="zh-CN"/>
        </w:rPr>
        <w:t>幼儿园校园安保经费支出；幼儿园图书、设备购置等支出；幼儿园办学质量评价奖励等支出。</w:t>
      </w:r>
    </w:p>
    <w:p>
      <w:pPr>
        <w:pStyle w:val="2"/>
        <w:ind w:firstLine="640" w:firstLineChars="200"/>
        <w:rPr>
          <w:rFonts w:hint="default"/>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w:t>
      </w:r>
      <w:r>
        <w:rPr>
          <w:rFonts w:hint="eastAsia"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lang w:eastAsia="zh-CN"/>
        </w:rPr>
        <w:t>）</w:t>
      </w:r>
      <w:r>
        <w:rPr>
          <w:rFonts w:cs="仿宋_GB2312"/>
          <w:sz w:val="32"/>
          <w:szCs w:val="32"/>
          <w:highlight w:val="none"/>
        </w:rPr>
        <w:t>教育支出（类）普通教育（款）</w:t>
      </w:r>
      <w:r>
        <w:rPr>
          <w:rFonts w:hint="eastAsia" w:cs="仿宋_GB2312"/>
          <w:sz w:val="32"/>
          <w:szCs w:val="32"/>
          <w:highlight w:val="none"/>
          <w:lang w:val="en-US" w:eastAsia="zh-CN"/>
        </w:rPr>
        <w:t>其他普通教育支出</w:t>
      </w:r>
      <w:r>
        <w:rPr>
          <w:rFonts w:cs="仿宋_GB2312"/>
          <w:sz w:val="32"/>
          <w:szCs w:val="32"/>
          <w:highlight w:val="none"/>
        </w:rPr>
        <w:t>（项）</w:t>
      </w:r>
      <w:r>
        <w:rPr>
          <w:rFonts w:hint="eastAsia" w:cs="仿宋_GB2312"/>
          <w:color w:val="000000"/>
          <w:sz w:val="32"/>
          <w:szCs w:val="32"/>
          <w:highlight w:val="none"/>
          <w:lang w:val="en-US" w:eastAsia="zh-CN"/>
        </w:rPr>
        <w:t>60.72</w:t>
      </w:r>
      <w:r>
        <w:rPr>
          <w:rFonts w:hint="eastAsia" w:ascii="仿宋_GB2312" w:hAnsi="仿宋_GB2312" w:eastAsia="仿宋_GB2312" w:cs="仿宋_GB2312"/>
          <w:color w:val="000000"/>
          <w:sz w:val="32"/>
          <w:szCs w:val="32"/>
          <w:highlight w:val="none"/>
        </w:rPr>
        <w:t>万元，主</w:t>
      </w:r>
      <w:r>
        <w:rPr>
          <w:rFonts w:hint="eastAsia" w:ascii="仿宋_GB2312" w:hAnsi="仿宋_GB2312" w:eastAsia="仿宋_GB2312" w:cs="仿宋_GB2312"/>
          <w:b w:val="0"/>
          <w:bCs w:val="0"/>
          <w:color w:val="000000"/>
          <w:sz w:val="32"/>
          <w:szCs w:val="32"/>
          <w:highlight w:val="none"/>
        </w:rPr>
        <w:t>要用</w:t>
      </w:r>
      <w:r>
        <w:rPr>
          <w:rFonts w:hint="eastAsia" w:ascii="仿宋_GB2312" w:hAnsi="仿宋_GB2312" w:eastAsia="仿宋_GB2312" w:cs="仿宋_GB2312"/>
          <w:color w:val="000000"/>
          <w:sz w:val="32"/>
          <w:szCs w:val="32"/>
          <w:highlight w:val="none"/>
        </w:rPr>
        <w:t>于</w:t>
      </w:r>
      <w:r>
        <w:rPr>
          <w:rFonts w:hint="eastAsia" w:cs="仿宋_GB2312"/>
          <w:color w:val="000000"/>
          <w:sz w:val="32"/>
          <w:szCs w:val="32"/>
          <w:highlight w:val="none"/>
          <w:lang w:val="en-US" w:eastAsia="zh-CN"/>
        </w:rPr>
        <w:t>吴垵园区设施设备购置及场地改善提升等支出。</w:t>
      </w:r>
    </w:p>
    <w:p>
      <w:pPr>
        <w:pStyle w:val="2"/>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社会保障和就业支出（类）行政事业单位养老支出（款）机关事业单位基本养老保险缴费支出（项）</w:t>
      </w:r>
      <w:r>
        <w:rPr>
          <w:rFonts w:hint="eastAsia" w:cs="仿宋_GB2312"/>
          <w:color w:val="000000"/>
          <w:sz w:val="32"/>
          <w:szCs w:val="32"/>
          <w:highlight w:val="none"/>
          <w:lang w:val="en-US" w:eastAsia="zh-CN"/>
        </w:rPr>
        <w:t>44.44</w:t>
      </w:r>
      <w:r>
        <w:rPr>
          <w:rFonts w:hint="eastAsia" w:ascii="仿宋_GB2312" w:hAnsi="仿宋_GB2312" w:eastAsia="仿宋_GB2312" w:cs="仿宋_GB2312"/>
          <w:color w:val="000000"/>
          <w:sz w:val="32"/>
          <w:szCs w:val="32"/>
          <w:highlight w:val="none"/>
        </w:rPr>
        <w:t>万元，主要用于幼儿园在职人员养老支出。</w:t>
      </w:r>
    </w:p>
    <w:p>
      <w:pPr>
        <w:pStyle w:val="2"/>
        <w:ind w:firstLine="640" w:firstLineChars="200"/>
        <w:rPr>
          <w:rFonts w:cs="仿宋_GB2312"/>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lang w:eastAsia="zh-CN"/>
        </w:rPr>
        <w:t>）</w:t>
      </w:r>
      <w:r>
        <w:rPr>
          <w:rFonts w:cs="仿宋_GB2312"/>
          <w:sz w:val="32"/>
          <w:szCs w:val="32"/>
          <w:highlight w:val="none"/>
        </w:rPr>
        <w:t>社会保障和就业支出（类）行政事业单位养老支出（款）机关事业单位职业年金缴费支出（项）</w:t>
      </w:r>
      <w:r>
        <w:rPr>
          <w:rFonts w:hint="eastAsia" w:cs="仿宋_GB2312"/>
          <w:sz w:val="32"/>
          <w:szCs w:val="32"/>
          <w:highlight w:val="none"/>
          <w:lang w:val="en-US" w:eastAsia="zh-CN"/>
        </w:rPr>
        <w:t>22.22</w:t>
      </w:r>
      <w:r>
        <w:rPr>
          <w:rFonts w:cs="仿宋_GB2312"/>
          <w:sz w:val="32"/>
          <w:szCs w:val="32"/>
          <w:highlight w:val="none"/>
        </w:rPr>
        <w:t>万元，主要用于幼儿园在职人员职业年金支出。</w:t>
      </w:r>
    </w:p>
    <w:p>
      <w:pPr>
        <w:pStyle w:val="2"/>
        <w:ind w:firstLine="640" w:firstLineChars="200"/>
        <w:rPr>
          <w:sz w:val="32"/>
          <w:szCs w:val="32"/>
        </w:rPr>
      </w:pPr>
      <w:r>
        <w:rPr>
          <w:sz w:val="32"/>
          <w:szCs w:val="32"/>
        </w:rPr>
        <w:t>（</w:t>
      </w:r>
      <w:r>
        <w:rPr>
          <w:rFonts w:hint="eastAsia"/>
          <w:sz w:val="32"/>
          <w:szCs w:val="32"/>
          <w:lang w:val="en-US" w:eastAsia="zh-CN"/>
        </w:rPr>
        <w:t>5</w:t>
      </w:r>
      <w:r>
        <w:rPr>
          <w:sz w:val="32"/>
          <w:szCs w:val="32"/>
        </w:rPr>
        <w:t>）社会保障和就业支出（类）其他社会保障和就业支出（款）其他社会保障和就业支出（项）</w:t>
      </w:r>
      <w:r>
        <w:rPr>
          <w:rFonts w:hint="eastAsia"/>
          <w:sz w:val="32"/>
          <w:szCs w:val="32"/>
          <w:lang w:val="en-US" w:eastAsia="zh-CN"/>
        </w:rPr>
        <w:t>6.67</w:t>
      </w:r>
      <w:r>
        <w:rPr>
          <w:sz w:val="32"/>
          <w:szCs w:val="32"/>
        </w:rPr>
        <w:t>万元，主要用于幼儿园在职人员失业金、工伤险、残疾人保障金等支出。</w:t>
      </w:r>
    </w:p>
    <w:p>
      <w:pPr>
        <w:pStyle w:val="2"/>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highlight w:val="none"/>
        </w:rPr>
      </w:pPr>
      <w:r>
        <w:rPr>
          <w:sz w:val="32"/>
          <w:szCs w:val="32"/>
        </w:rPr>
        <w:t>（</w:t>
      </w:r>
      <w:r>
        <w:rPr>
          <w:rFonts w:hint="eastAsia"/>
          <w:sz w:val="32"/>
          <w:szCs w:val="32"/>
          <w:lang w:val="en-US" w:eastAsia="zh-CN"/>
        </w:rPr>
        <w:t>6</w:t>
      </w:r>
      <w:r>
        <w:rPr>
          <w:sz w:val="32"/>
          <w:szCs w:val="32"/>
        </w:rPr>
        <w:t>）</w:t>
      </w:r>
      <w:r>
        <w:rPr>
          <w:rFonts w:hint="eastAsia"/>
          <w:sz w:val="32"/>
          <w:szCs w:val="32"/>
        </w:rPr>
        <w:t>卫生健康支出</w:t>
      </w:r>
      <w:r>
        <w:rPr>
          <w:sz w:val="32"/>
          <w:szCs w:val="32"/>
        </w:rPr>
        <w:t>（类）</w:t>
      </w:r>
      <w:r>
        <w:rPr>
          <w:rFonts w:hint="eastAsia"/>
          <w:sz w:val="32"/>
          <w:szCs w:val="32"/>
        </w:rPr>
        <w:t>行政事业单位医疗</w:t>
      </w:r>
      <w:r>
        <w:rPr>
          <w:sz w:val="32"/>
          <w:szCs w:val="32"/>
        </w:rPr>
        <w:t>（款）</w:t>
      </w:r>
      <w:r>
        <w:rPr>
          <w:rFonts w:hint="eastAsia"/>
          <w:sz w:val="32"/>
          <w:szCs w:val="32"/>
        </w:rPr>
        <w:t>事业单位医疗</w:t>
      </w:r>
      <w:r>
        <w:rPr>
          <w:sz w:val="32"/>
          <w:szCs w:val="32"/>
        </w:rPr>
        <w:t>（项）</w:t>
      </w:r>
      <w:r>
        <w:rPr>
          <w:rFonts w:hint="eastAsia"/>
          <w:sz w:val="32"/>
          <w:szCs w:val="32"/>
          <w:lang w:val="en-US" w:eastAsia="zh-CN"/>
        </w:rPr>
        <w:t>42.50</w:t>
      </w:r>
      <w:r>
        <w:rPr>
          <w:sz w:val="32"/>
          <w:szCs w:val="32"/>
        </w:rPr>
        <w:t>万元，主要用于幼儿园在职人员</w:t>
      </w:r>
      <w:r>
        <w:rPr>
          <w:rFonts w:hint="eastAsia"/>
          <w:sz w:val="32"/>
          <w:szCs w:val="32"/>
          <w:lang w:val="en-US" w:eastAsia="zh-CN"/>
        </w:rPr>
        <w:t>医疗</w:t>
      </w:r>
      <w:r>
        <w:rPr>
          <w:sz w:val="32"/>
          <w:szCs w:val="32"/>
        </w:rPr>
        <w:t>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丽水南城实验幼儿园2023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1057.25万元，其中：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olor w:val="000000"/>
          <w:sz w:val="32"/>
          <w:szCs w:val="32"/>
          <w:highlight w:val="none"/>
          <w:lang w:val="en-US" w:eastAsia="zh-CN"/>
        </w:rPr>
        <w:t>934.13</w:t>
      </w:r>
      <w:r>
        <w:rPr>
          <w:rFonts w:hint="eastAsia" w:ascii="仿宋_GB2312" w:eastAsia="仿宋_GB2312" w:cs="Times New Roman"/>
          <w:b w:val="0"/>
          <w:color w:val="000000"/>
          <w:sz w:val="32"/>
          <w:szCs w:val="32"/>
          <w:highlight w:val="none"/>
          <w:lang w:val="en-US" w:eastAsia="zh-CN"/>
        </w:rPr>
        <w:t>万元，主要包括：基本工资、奖金、绩效工资、机关事业单位基本养老保险缴费、职业年金缴费、职工基本医疗保险缴费、公务员医疗补助缴费、其他社会保障缴费、住房公积金、其他工资福利支出、奖励金；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olor w:val="000000"/>
          <w:sz w:val="32"/>
          <w:szCs w:val="32"/>
          <w:highlight w:val="none"/>
          <w:lang w:val="en-US" w:eastAsia="zh-CN"/>
        </w:rPr>
        <w:t>123.12</w:t>
      </w:r>
      <w:r>
        <w:rPr>
          <w:rFonts w:hint="eastAsia" w:ascii="仿宋_GB2312" w:eastAsia="仿宋_GB2312" w:cs="Times New Roman"/>
          <w:b w:val="0"/>
          <w:color w:val="000000"/>
          <w:sz w:val="32"/>
          <w:szCs w:val="32"/>
          <w:highlight w:val="none"/>
          <w:lang w:val="en-US" w:eastAsia="zh-CN"/>
        </w:rPr>
        <w:t>万元，主要包括：办公费、水费、电费、邮电费、物业管理费、差旅费、维修（护）费、公务接待费、专用材料费、工会经费、福利费。</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丽水南城实验幼儿园2023年没有使用政府性基金预算拨款安排的支出。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丽水南城实验幼儿园2023年没有使用国有资本经营预算拨款安排的支出。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w:t>
      </w:r>
      <w:r>
        <w:rPr>
          <w:rFonts w:hint="eastAsia" w:ascii="楷体_GB2312" w:hAnsi="楷体_GB2312" w:eastAsia="楷体_GB2312" w:cs="楷体_GB2312"/>
          <w:b w:val="0"/>
          <w:bCs w:val="0"/>
          <w:color w:val="000000"/>
          <w:sz w:val="32"/>
          <w:szCs w:val="32"/>
          <w:highlight w:val="none"/>
          <w:lang w:val="en-US" w:eastAsia="zh-CN"/>
        </w:rPr>
        <w:t>丽水南城实验幼儿园</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color w:val="auto"/>
          <w:kern w:val="2"/>
          <w:sz w:val="32"/>
          <w:szCs w:val="20"/>
          <w:highlight w:val="none"/>
          <w:lang w:val="en-US" w:eastAsia="zh-CN"/>
        </w:rPr>
      </w:pPr>
      <w:r>
        <w:rPr>
          <w:rFonts w:hint="eastAsia" w:ascii="仿宋_GB2312" w:eastAsia="仿宋_GB2312"/>
          <w:color w:val="000000"/>
          <w:sz w:val="32"/>
          <w:szCs w:val="32"/>
          <w:highlight w:val="none"/>
          <w:lang w:val="en-US" w:eastAsia="zh-CN"/>
        </w:rPr>
        <w:t>丽水南城实验幼儿园</w:t>
      </w:r>
      <w:r>
        <w:rPr>
          <w:rFonts w:hint="eastAsia" w:ascii="仿宋_GB2312" w:hAnsi="仿宋_GB2312" w:eastAsia="仿宋_GB2312"/>
          <w:sz w:val="32"/>
          <w:highlight w:val="none"/>
          <w:lang w:val="en-US" w:eastAsia="zh-CN"/>
        </w:rPr>
        <w:t>2023</w:t>
      </w:r>
      <w:r>
        <w:rPr>
          <w:rFonts w:hint="eastAsia" w:ascii="仿宋_GB2312" w:hAnsi="仿宋_GB2312" w:eastAsia="仿宋_GB2312"/>
          <w:sz w:val="32"/>
          <w:highlight w:val="none"/>
        </w:rPr>
        <w:t>年“三公”经费预算数为</w:t>
      </w:r>
      <w:r>
        <w:rPr>
          <w:rFonts w:hint="eastAsia" w:ascii="仿宋_GB2312" w:eastAsia="仿宋_GB2312"/>
          <w:color w:val="000000"/>
          <w:sz w:val="32"/>
          <w:szCs w:val="32"/>
          <w:highlight w:val="none"/>
          <w:lang w:val="en-US" w:eastAsia="zh-CN"/>
        </w:rPr>
        <w:t>0.20</w:t>
      </w:r>
      <w:r>
        <w:rPr>
          <w:rFonts w:hint="eastAsia" w:ascii="仿宋_GB2312" w:hAnsi="仿宋_GB2312" w:eastAsia="仿宋_GB2312"/>
          <w:sz w:val="32"/>
          <w:highlight w:val="none"/>
        </w:rPr>
        <w:t>万元</w:t>
      </w:r>
      <w:r>
        <w:rPr>
          <w:rFonts w:hint="eastAsia" w:ascii="仿宋_GB2312" w:hAnsi="仿宋_GB2312" w:eastAsia="仿宋_GB2312"/>
          <w:sz w:val="32"/>
          <w:highlight w:val="none"/>
          <w:lang w:eastAsia="zh-CN"/>
        </w:rPr>
        <w:t>，</w:t>
      </w:r>
      <w:r>
        <w:rPr>
          <w:rFonts w:hint="eastAsia" w:ascii="仿宋_GB2312" w:hAnsi="仿宋_GB2312" w:eastAsia="仿宋_GB2312"/>
          <w:sz w:val="32"/>
          <w:highlight w:val="none"/>
          <w:lang w:val="en-US" w:eastAsia="zh-CN"/>
        </w:rPr>
        <w:t>与</w:t>
      </w:r>
      <w:r>
        <w:rPr>
          <w:rFonts w:hint="eastAsia" w:ascii="仿宋_GB2312" w:hAnsi="仿宋_GB2312" w:eastAsia="仿宋_GB2312" w:cs="Times New Roman"/>
          <w:kern w:val="2"/>
          <w:sz w:val="32"/>
          <w:szCs w:val="20"/>
          <w:highlight w:val="none"/>
          <w:shd w:val="clear" w:color="auto" w:fill="FFFFFF"/>
          <w:lang w:val="en-US" w:eastAsia="zh-CN" w:bidi="ar"/>
        </w:rPr>
        <w:t>上年预算数持平</w:t>
      </w:r>
      <w:r>
        <w:rPr>
          <w:rFonts w:hint="eastAsia" w:ascii="仿宋_GB2312" w:hAnsi="仿宋_GB2312" w:eastAsia="仿宋_GB2312" w:cs="Times New Roman"/>
          <w:sz w:val="32"/>
          <w:szCs w:val="20"/>
          <w:highlight w:val="none"/>
          <w:lang w:eastAsia="zh-CN"/>
        </w:rPr>
        <w:t>，</w:t>
      </w:r>
      <w:r>
        <w:rPr>
          <w:rFonts w:hint="eastAsia" w:ascii="仿宋_GB2312" w:hAnsi="仿宋_GB2312" w:eastAsia="仿宋_GB2312"/>
          <w:sz w:val="32"/>
          <w:highlight w:val="none"/>
          <w:lang w:eastAsia="zh-CN"/>
        </w:rPr>
        <w:t>具体如下：</w:t>
      </w:r>
    </w:p>
    <w:p>
      <w:pPr>
        <w:keepNext w:val="0"/>
        <w:keepLines w:val="0"/>
        <w:pageBreakBefore w:val="0"/>
        <w:numPr>
          <w:ilvl w:val="0"/>
          <w:numId w:val="0"/>
        </w:numPr>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年安排因公出国（境）费</w:t>
      </w:r>
      <w:r>
        <w:rPr>
          <w:rFonts w:hint="eastAsia" w:ascii="仿宋_GB2312" w:hAnsi="仿宋_GB2312" w:eastAsia="仿宋_GB2312" w:cs="仿宋_GB2312"/>
          <w:color w:val="auto"/>
          <w:sz w:val="32"/>
          <w:szCs w:val="32"/>
          <w:highlight w:val="none"/>
          <w:lang w:eastAsia="zh-CN"/>
        </w:rPr>
        <w:t>用预算</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与上年预算数持平。</w:t>
      </w:r>
      <w:r>
        <w:rPr>
          <w:rFonts w:hint="eastAsia" w:ascii="仿宋_GB2312" w:hAnsi="仿宋" w:eastAsia="仿宋_GB2312"/>
          <w:color w:val="auto"/>
          <w:sz w:val="32"/>
          <w:szCs w:val="32"/>
          <w:highlight w:val="none"/>
        </w:rPr>
        <w:t>主要原因是：20</w:t>
      </w:r>
      <w:r>
        <w:rPr>
          <w:rFonts w:hint="eastAsia" w:ascii="仿宋_GB2312" w:hAnsi="仿宋" w:eastAsia="仿宋_GB2312"/>
          <w:color w:val="auto"/>
          <w:sz w:val="32"/>
          <w:szCs w:val="32"/>
          <w:highlight w:val="none"/>
          <w:lang w:val="en-US" w:eastAsia="zh-CN"/>
        </w:rPr>
        <w:t>23</w:t>
      </w:r>
      <w:r>
        <w:rPr>
          <w:rFonts w:hint="eastAsia" w:ascii="仿宋_GB2312" w:hAnsi="仿宋" w:eastAsia="仿宋_GB2312"/>
          <w:color w:val="auto"/>
          <w:sz w:val="32"/>
          <w:szCs w:val="32"/>
          <w:highlight w:val="none"/>
        </w:rPr>
        <w:t>年因公出国（境）预算由财政统留管理，未编列到年初部门预算中。</w:t>
      </w:r>
      <w:r>
        <w:rPr>
          <w:rFonts w:hint="eastAsia" w:ascii="仿宋_GB2312" w:hAnsi="仿宋" w:eastAsia="仿宋_GB2312"/>
          <w:color w:val="auto"/>
          <w:sz w:val="32"/>
          <w:szCs w:val="32"/>
          <w:highlight w:val="none"/>
          <w:lang w:eastAsia="zh-CN"/>
        </w:rPr>
        <w:t>根据市外办安排的因公出国计划和实际工作需要，</w:t>
      </w:r>
      <w:r>
        <w:rPr>
          <w:rFonts w:hint="eastAsia" w:ascii="仿宋_GB2312" w:hAnsi="仿宋" w:eastAsia="仿宋_GB2312"/>
          <w:color w:val="auto"/>
          <w:sz w:val="32"/>
          <w:szCs w:val="32"/>
          <w:highlight w:val="none"/>
        </w:rPr>
        <w:t>经批准同意因公出国（境）的，所需</w:t>
      </w:r>
      <w:r>
        <w:rPr>
          <w:rFonts w:hint="eastAsia" w:ascii="仿宋_GB2312" w:hAnsi="仿宋" w:eastAsia="仿宋_GB2312"/>
          <w:color w:val="auto"/>
          <w:sz w:val="32"/>
          <w:szCs w:val="32"/>
          <w:highlight w:val="none"/>
          <w:lang w:eastAsia="zh-CN"/>
        </w:rPr>
        <w:t>指标</w:t>
      </w:r>
      <w:r>
        <w:rPr>
          <w:rFonts w:hint="eastAsia" w:ascii="仿宋_GB2312" w:hAnsi="仿宋" w:eastAsia="仿宋_GB2312"/>
          <w:color w:val="auto"/>
          <w:sz w:val="32"/>
          <w:szCs w:val="32"/>
          <w:highlight w:val="none"/>
        </w:rPr>
        <w:t>由财政按实追加部门年度“三公”经费预算额度。</w:t>
      </w:r>
      <w:r>
        <w:rPr>
          <w:rFonts w:hint="eastAsia" w:ascii="仿宋_GB2312" w:hAnsi="仿宋_GB2312" w:eastAsia="仿宋_GB2312" w:cs="仿宋_GB2312"/>
          <w:color w:val="auto"/>
          <w:kern w:val="0"/>
          <w:sz w:val="32"/>
          <w:szCs w:val="32"/>
          <w:highlight w:val="none"/>
        </w:rPr>
        <w:t>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主要用于</w:t>
      </w:r>
      <w:r>
        <w:rPr>
          <w:rFonts w:hint="eastAsia" w:ascii="仿宋_GB2312" w:hAnsi="仿宋_GB2312" w:eastAsia="仿宋_GB2312" w:cs="仿宋_GB2312"/>
          <w:color w:val="auto"/>
          <w:sz w:val="32"/>
          <w:szCs w:val="32"/>
          <w:highlight w:val="none"/>
        </w:rPr>
        <w:t>机关及下属预算单位人员的公务出国（境）的国际旅费、</w:t>
      </w:r>
      <w:r>
        <w:rPr>
          <w:rFonts w:hint="eastAsia" w:ascii="仿宋_GB2312" w:hAnsi="仿宋_GB2312" w:eastAsia="仿宋_GB2312" w:cs="仿宋_GB2312"/>
          <w:color w:val="auto"/>
          <w:sz w:val="32"/>
          <w:szCs w:val="32"/>
          <w:highlight w:val="none"/>
          <w:lang w:eastAsia="zh-CN"/>
        </w:rPr>
        <w:t>国外城市间交通费、</w:t>
      </w:r>
      <w:r>
        <w:rPr>
          <w:rFonts w:hint="eastAsia" w:ascii="仿宋_GB2312" w:hAnsi="仿宋_GB2312" w:eastAsia="仿宋_GB2312" w:cs="仿宋_GB2312"/>
          <w:color w:val="auto"/>
          <w:sz w:val="32"/>
          <w:szCs w:val="32"/>
          <w:highlight w:val="none"/>
        </w:rPr>
        <w:t>住宿费、</w:t>
      </w:r>
      <w:r>
        <w:rPr>
          <w:rFonts w:hint="eastAsia" w:ascii="仿宋_GB2312" w:hAnsi="仿宋_GB2312" w:eastAsia="仿宋_GB2312" w:cs="仿宋_GB2312"/>
          <w:color w:val="auto"/>
          <w:sz w:val="32"/>
          <w:szCs w:val="32"/>
          <w:highlight w:val="none"/>
          <w:lang w:eastAsia="zh-CN"/>
        </w:rPr>
        <w:t>伙食费、</w:t>
      </w:r>
      <w:r>
        <w:rPr>
          <w:rFonts w:hint="eastAsia" w:ascii="仿宋_GB2312" w:hAnsi="仿宋_GB2312" w:eastAsia="仿宋_GB2312" w:cs="仿宋_GB2312"/>
          <w:color w:val="auto"/>
          <w:sz w:val="32"/>
          <w:szCs w:val="32"/>
          <w:highlight w:val="none"/>
        </w:rPr>
        <w:t>培训费、公杂费等支出。</w:t>
      </w:r>
    </w:p>
    <w:p>
      <w:pPr>
        <w:keepNext w:val="0"/>
        <w:keepLines w:val="0"/>
        <w:pageBreakBefore w:val="0"/>
        <w:kinsoku/>
        <w:wordWrap/>
        <w:overflowPunct/>
        <w:topLinePunct w:val="0"/>
        <w:bidi w:val="0"/>
        <w:spacing w:beforeLines="0" w:afterLines="0" w:line="520" w:lineRule="exact"/>
        <w:ind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eastAsia="仿宋_GB2312"/>
          <w:color w:val="000000"/>
          <w:sz w:val="32"/>
          <w:szCs w:val="32"/>
          <w:highlight w:val="none"/>
          <w:lang w:val="en-US" w:eastAsia="zh-CN"/>
        </w:rPr>
        <w:t>0.20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kern w:val="0"/>
          <w:sz w:val="32"/>
          <w:szCs w:val="32"/>
          <w:highlight w:val="none"/>
        </w:rPr>
        <w:t>主要用于接待各地市单位来园教学业务等公务活动接待支出。</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default" w:ascii="仿宋_GB2312" w:eastAsia="仿宋_GB2312" w:cs="Times New Roman"/>
          <w:b/>
          <w:bCs/>
          <w:color w:val="000000"/>
          <w:sz w:val="32"/>
          <w:szCs w:val="32"/>
          <w:highlight w:val="none"/>
          <w:lang w:val="en-US" w:eastAsia="zh-CN"/>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color w:val="000000"/>
          <w:sz w:val="32"/>
          <w:szCs w:val="32"/>
          <w:highlight w:val="none"/>
          <w:lang w:val="en-US" w:eastAsia="zh-CN"/>
        </w:rPr>
        <w:t>0.00</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eastAsia="仿宋_GB2312"/>
          <w:sz w:val="32"/>
          <w:szCs w:val="32"/>
          <w:highlight w:val="none"/>
        </w:rPr>
        <w:t>。其中，公务用车购置支出</w:t>
      </w:r>
      <w:r>
        <w:rPr>
          <w:rFonts w:hint="eastAsia" w:ascii="仿宋_GB2312" w:eastAsia="仿宋_GB2312"/>
          <w:color w:val="000000"/>
          <w:sz w:val="32"/>
          <w:szCs w:val="32"/>
          <w:highlight w:val="none"/>
          <w:lang w:val="en-US" w:eastAsia="zh-CN"/>
        </w:rPr>
        <w:t>0.00</w:t>
      </w:r>
      <w:r>
        <w:rPr>
          <w:rFonts w:hint="eastAsia" w:ascii="仿宋_GB2312" w:eastAsia="仿宋_GB2312"/>
          <w:sz w:val="32"/>
          <w:szCs w:val="32"/>
          <w:highlight w:val="none"/>
        </w:rPr>
        <w:t>万元（含购置税等附加费用），</w:t>
      </w:r>
      <w:r>
        <w:rPr>
          <w:rFonts w:hint="eastAsia" w:ascii="仿宋_GB2312" w:eastAsia="仿宋_GB2312"/>
          <w:sz w:val="32"/>
          <w:szCs w:val="32"/>
          <w:highlight w:val="none"/>
          <w:lang w:val="en-US" w:eastAsia="zh-CN"/>
        </w:rPr>
        <w:t>与</w:t>
      </w:r>
      <w:r>
        <w:rPr>
          <w:rFonts w:hint="eastAsia" w:ascii="仿宋_GB2312" w:hAnsi="仿宋_GB2312" w:eastAsia="仿宋_GB2312" w:cs="仿宋_GB2312"/>
          <w:sz w:val="32"/>
          <w:szCs w:val="32"/>
          <w:highlight w:val="none"/>
          <w:lang w:val="en-US" w:eastAsia="zh-CN"/>
        </w:rPr>
        <w:t>上年预算数持平</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费支出</w:t>
      </w:r>
      <w:r>
        <w:rPr>
          <w:rFonts w:hint="eastAsia" w:ascii="仿宋_GB2312" w:eastAsia="仿宋_GB2312"/>
          <w:color w:val="000000"/>
          <w:sz w:val="32"/>
          <w:szCs w:val="32"/>
          <w:highlight w:val="none"/>
          <w:lang w:val="en-US" w:eastAsia="zh-CN"/>
        </w:rPr>
        <w:t>0.00</w:t>
      </w:r>
      <w:bookmarkStart w:id="0" w:name="_GoBack"/>
      <w:bookmarkEnd w:id="0"/>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与</w:t>
      </w:r>
      <w:r>
        <w:rPr>
          <w:rFonts w:hint="eastAsia" w:ascii="仿宋_GB2312" w:hAnsi="仿宋_GB2312" w:eastAsia="仿宋_GB2312" w:cs="仿宋_GB2312"/>
          <w:sz w:val="32"/>
          <w:szCs w:val="32"/>
          <w:highlight w:val="none"/>
          <w:lang w:val="en-US" w:eastAsia="zh-CN"/>
        </w:rPr>
        <w:t>上年预算数持平</w:t>
      </w:r>
      <w:r>
        <w:rPr>
          <w:rFonts w:hint="eastAsia" w:ascii="仿宋_GB2312" w:eastAsia="仿宋_GB2312"/>
          <w:b w:val="0"/>
          <w:bCs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1.政府采购情况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val="en-US" w:eastAsia="zh-CN"/>
        </w:rPr>
        <w:t>丽水南城实验幼儿园</w:t>
      </w:r>
      <w:r>
        <w:rPr>
          <w:rFonts w:hint="eastAsia" w:ascii="仿宋_GB2312" w:eastAsia="仿宋_GB2312"/>
          <w:color w:val="000000"/>
          <w:sz w:val="32"/>
          <w:szCs w:val="32"/>
          <w:highlight w:val="none"/>
          <w:lang w:eastAsia="zh-CN"/>
        </w:rPr>
        <w:t>政府采购预算总额</w:t>
      </w:r>
      <w:r>
        <w:rPr>
          <w:rFonts w:hint="eastAsia" w:ascii="仿宋_GB2312" w:eastAsia="仿宋_GB2312"/>
          <w:color w:val="000000"/>
          <w:sz w:val="32"/>
          <w:szCs w:val="32"/>
          <w:highlight w:val="none"/>
          <w:lang w:val="en-US" w:eastAsia="zh-CN"/>
        </w:rPr>
        <w:t>5.88万元，其中：政府采购货物预算5.88万元、政府采购工程预算0.00万元、政府采购服务预算0.00万元。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7"/>
        <w:keepNext w:val="0"/>
        <w:keepLines w:val="0"/>
        <w:pageBreakBefore w:val="0"/>
        <w:numPr>
          <w:ilvl w:val="0"/>
          <w:numId w:val="0"/>
        </w:numPr>
        <w:kinsoku/>
        <w:wordWrap/>
        <w:overflowPunct/>
        <w:topLinePunct w:val="0"/>
        <w:bidi w:val="0"/>
        <w:spacing w:beforeLines="0" w:afterLines="0" w:line="560" w:lineRule="exact"/>
        <w:ind w:firstLine="664"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u w:val="none"/>
          <w:lang w:val="en-US" w:eastAsia="zh-CN"/>
        </w:rPr>
        <w:t>截至2022年12月31日，</w:t>
      </w:r>
      <w:r>
        <w:rPr>
          <w:rFonts w:hint="eastAsia" w:ascii="仿宋_GB2312" w:hAnsi="仿宋_GB2312" w:eastAsia="仿宋_GB2312" w:cs="仿宋_GB2312"/>
          <w:color w:val="auto"/>
          <w:spacing w:val="6"/>
          <w:sz w:val="32"/>
          <w:szCs w:val="32"/>
          <w:highlight w:val="none"/>
          <w:lang w:val="en-US" w:eastAsia="zh-CN"/>
        </w:rPr>
        <w:t>丽水南城实验幼儿园</w:t>
      </w:r>
      <w:r>
        <w:rPr>
          <w:rFonts w:hint="eastAsia" w:ascii="仿宋_GB2312" w:hAnsi="仿宋_GB2312" w:eastAsia="仿宋_GB2312" w:cs="仿宋_GB2312"/>
          <w:color w:val="auto"/>
          <w:spacing w:val="6"/>
          <w:sz w:val="32"/>
          <w:szCs w:val="32"/>
          <w:highlight w:val="none"/>
          <w:lang w:eastAsia="zh-CN"/>
        </w:rPr>
        <w:t>共有车辆</w:t>
      </w:r>
      <w:r>
        <w:rPr>
          <w:rFonts w:hint="eastAsia" w:ascii="仿宋_GB2312" w:hAnsi="仿宋_GB2312" w:eastAsia="仿宋_GB2312" w:cs="仿宋_GB2312"/>
          <w:color w:val="auto"/>
          <w:sz w:val="32"/>
          <w:szCs w:val="32"/>
          <w:highlight w:val="none"/>
          <w:lang w:val="en-US" w:eastAsia="zh-CN"/>
        </w:rPr>
        <w:t>0辆。单位价值50万元以上通用设备0台（套），单位价值100万元以上专用设备0台（套）。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2023年单位预算未安排购置车辆、单位价值50万元以上通用设备及单位价值100万元以上专用设备。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2023年丽水南城实验幼儿园其他运转类项目和特定目标类项目均实行绩效目标管理，涉及一般公共预算当年拨款1542.48万元，一级项目1个。</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4.事业单位经营收入：事业单位在专业业务活动及辅助活动之外开展非独立核算经营活动取得的收入。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9.经营支出：指事业单位在专业业务活动及其辅助活动之外开展非独立核算经营活动发生的支出。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11.教育支出（类）普通教育（款）学前教育（项）：反映各部门举办的学前教育支出。政府各部门对社会组织等举办的幼儿园的资助，如捐赠、补贴等，也在本科目中反映。</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lang w:val="en-US" w:eastAsia="zh-CN"/>
        </w:rPr>
      </w:pPr>
      <w:r>
        <w:rPr>
          <w:rFonts w:hint="eastAsia" w:ascii="仿宋_GB2312" w:hAnsi="仿宋_GB2312" w:eastAsia="仿宋_GB2312" w:cs="仿宋_GB2312"/>
          <w:color w:val="auto"/>
          <w:sz w:val="32"/>
          <w:szCs w:val="32"/>
          <w:highlight w:val="none"/>
          <w:lang w:val="en-US" w:eastAsia="zh-CN"/>
        </w:rPr>
        <w:t>12.教育支出（类）普通教育（款）其他普通教育支出（项）：反映除上述项目以外其他用于普通教育方面的支出。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13.社会保障和就业支出（类）行政事业单位养老支出（款）机关事业单位基本养老保险缴费支出（项）：反映机关事业单位实施养老保险制度由单位缴纳的基本养老保险费支出。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14.社会保障和就业支出（类）行政事业单位养老支出（款）机关事业单位职业年金缴费支出（项）：反映机关事业单位实施养老保险制度由单位实际缴纳的职业年金支出。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15.社会保障和就业支出（类）其他社会保障和就业支出（款）其他社会保障和就业支出（项）：反映除上述项目以外其他用于社会保障和就业方面的支出。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16.卫生健康支出（类）行政事业单位医疗（款）事业单位医疗（项）：反映财政部门安排的事业单位基本医疗保险缴费经费，未参加医疗保险的事业单位的公费医疗经费，按国家规定享受离休人员待遇的医疗经费。</w:t>
      </w:r>
    </w:p>
    <w:p>
      <w:pPr>
        <w:spacing w:line="520" w:lineRule="exact"/>
        <w:rPr>
          <w:color w:val="auto"/>
          <w:highlight w:val="none"/>
        </w:rPr>
      </w:pPr>
    </w:p>
    <w:p>
      <w:pPr>
        <w:pStyle w:val="2"/>
        <w:rPr>
          <w:highlight w:val="none"/>
        </w:rPr>
      </w:pPr>
    </w:p>
    <w:p>
      <w:pPr>
        <w:pStyle w:val="2"/>
        <w:rPr>
          <w:highlight w:val="none"/>
        </w:rPr>
      </w:pPr>
    </w:p>
    <w:p>
      <w:pPr>
        <w:pStyle w:val="2"/>
        <w:rPr>
          <w:highlight w:val="none"/>
        </w:rPr>
      </w:pPr>
    </w:p>
    <w:p>
      <w:pPr>
        <w:pStyle w:val="2"/>
        <w:rPr>
          <w:rFonts w:hint="eastAsia" w:eastAsia="仿宋_GB2312"/>
          <w:highlight w:val="none"/>
          <w:lang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yODcwN2IyNzdjZTA3Yjc3NTNjNWU3MjU3NzkxNzYifQ=="/>
  </w:docVars>
  <w:rsids>
    <w:rsidRoot w:val="00000000"/>
    <w:rsid w:val="007A123D"/>
    <w:rsid w:val="01542F3D"/>
    <w:rsid w:val="01D129DD"/>
    <w:rsid w:val="01F44A5B"/>
    <w:rsid w:val="02065DB1"/>
    <w:rsid w:val="02066AED"/>
    <w:rsid w:val="038E1D2C"/>
    <w:rsid w:val="03912F41"/>
    <w:rsid w:val="0432483D"/>
    <w:rsid w:val="078F745F"/>
    <w:rsid w:val="09F22F92"/>
    <w:rsid w:val="0A665ECD"/>
    <w:rsid w:val="0B3260DC"/>
    <w:rsid w:val="0B9A47F3"/>
    <w:rsid w:val="0C014F6D"/>
    <w:rsid w:val="11641E21"/>
    <w:rsid w:val="125B4450"/>
    <w:rsid w:val="14D42C8D"/>
    <w:rsid w:val="15615909"/>
    <w:rsid w:val="15EC252C"/>
    <w:rsid w:val="16AB5C70"/>
    <w:rsid w:val="16EF5067"/>
    <w:rsid w:val="17E90E67"/>
    <w:rsid w:val="18554231"/>
    <w:rsid w:val="187978FE"/>
    <w:rsid w:val="18AD554C"/>
    <w:rsid w:val="19516FA3"/>
    <w:rsid w:val="1C5446B4"/>
    <w:rsid w:val="1C84143D"/>
    <w:rsid w:val="1D4B3AB7"/>
    <w:rsid w:val="1ED74D17"/>
    <w:rsid w:val="1F234F3D"/>
    <w:rsid w:val="1F7E048C"/>
    <w:rsid w:val="2212198A"/>
    <w:rsid w:val="22C2681B"/>
    <w:rsid w:val="23D96981"/>
    <w:rsid w:val="245B3CCB"/>
    <w:rsid w:val="24DB720B"/>
    <w:rsid w:val="24F7427D"/>
    <w:rsid w:val="25216B3C"/>
    <w:rsid w:val="255258CA"/>
    <w:rsid w:val="25AD2547"/>
    <w:rsid w:val="27AF99D0"/>
    <w:rsid w:val="290B259E"/>
    <w:rsid w:val="29D92A9D"/>
    <w:rsid w:val="29DF2231"/>
    <w:rsid w:val="2AF846C6"/>
    <w:rsid w:val="2E676050"/>
    <w:rsid w:val="30366E20"/>
    <w:rsid w:val="30F009F7"/>
    <w:rsid w:val="311C17EC"/>
    <w:rsid w:val="32FF21F7"/>
    <w:rsid w:val="353E1DF4"/>
    <w:rsid w:val="3787034C"/>
    <w:rsid w:val="39683996"/>
    <w:rsid w:val="39A42BC6"/>
    <w:rsid w:val="39C7B2DC"/>
    <w:rsid w:val="3B102BB4"/>
    <w:rsid w:val="3B73ECAC"/>
    <w:rsid w:val="3B8C7A8F"/>
    <w:rsid w:val="3E054CA0"/>
    <w:rsid w:val="3E663D4F"/>
    <w:rsid w:val="3FF778EB"/>
    <w:rsid w:val="40957092"/>
    <w:rsid w:val="409E59AC"/>
    <w:rsid w:val="41260B4E"/>
    <w:rsid w:val="420F1B82"/>
    <w:rsid w:val="425F7009"/>
    <w:rsid w:val="428C513E"/>
    <w:rsid w:val="4413460B"/>
    <w:rsid w:val="454315E6"/>
    <w:rsid w:val="45BF7797"/>
    <w:rsid w:val="462F4BA1"/>
    <w:rsid w:val="479F1816"/>
    <w:rsid w:val="4905680A"/>
    <w:rsid w:val="49973CAE"/>
    <w:rsid w:val="49D2582E"/>
    <w:rsid w:val="4AFA32A4"/>
    <w:rsid w:val="4CB973DA"/>
    <w:rsid w:val="4E261FB4"/>
    <w:rsid w:val="4EE446BC"/>
    <w:rsid w:val="4F516CC1"/>
    <w:rsid w:val="53AF1922"/>
    <w:rsid w:val="54C31518"/>
    <w:rsid w:val="56432923"/>
    <w:rsid w:val="588061E5"/>
    <w:rsid w:val="5B527A35"/>
    <w:rsid w:val="5BF427E8"/>
    <w:rsid w:val="5BF9A05E"/>
    <w:rsid w:val="5CA47F6C"/>
    <w:rsid w:val="5D683540"/>
    <w:rsid w:val="5E0F5BCE"/>
    <w:rsid w:val="5E2B2657"/>
    <w:rsid w:val="5EEFD4B0"/>
    <w:rsid w:val="5F1326B2"/>
    <w:rsid w:val="60026047"/>
    <w:rsid w:val="60765F74"/>
    <w:rsid w:val="61C251E9"/>
    <w:rsid w:val="61E61540"/>
    <w:rsid w:val="61EB4988"/>
    <w:rsid w:val="625E7607"/>
    <w:rsid w:val="63D76C12"/>
    <w:rsid w:val="665C5C0C"/>
    <w:rsid w:val="66836EE4"/>
    <w:rsid w:val="6689399F"/>
    <w:rsid w:val="67AC4971"/>
    <w:rsid w:val="682B47D1"/>
    <w:rsid w:val="6C627CF4"/>
    <w:rsid w:val="6CF22540"/>
    <w:rsid w:val="6D61282D"/>
    <w:rsid w:val="702436C6"/>
    <w:rsid w:val="70702BFD"/>
    <w:rsid w:val="71071882"/>
    <w:rsid w:val="73301A29"/>
    <w:rsid w:val="749B2754"/>
    <w:rsid w:val="753064B9"/>
    <w:rsid w:val="759C24D2"/>
    <w:rsid w:val="76442312"/>
    <w:rsid w:val="76D4453A"/>
    <w:rsid w:val="76DFF3BC"/>
    <w:rsid w:val="77D843D2"/>
    <w:rsid w:val="77E13285"/>
    <w:rsid w:val="77FF0865"/>
    <w:rsid w:val="77FFC04D"/>
    <w:rsid w:val="78141C82"/>
    <w:rsid w:val="79AD5421"/>
    <w:rsid w:val="7B7F4ADB"/>
    <w:rsid w:val="7BAF2D93"/>
    <w:rsid w:val="7C470082"/>
    <w:rsid w:val="7CDF3BD2"/>
    <w:rsid w:val="7CE473ED"/>
    <w:rsid w:val="7CFB18E8"/>
    <w:rsid w:val="7D572091"/>
    <w:rsid w:val="7DBFC2EB"/>
    <w:rsid w:val="7E117905"/>
    <w:rsid w:val="7EFFAD84"/>
    <w:rsid w:val="7F3F7849"/>
    <w:rsid w:val="7F433A58"/>
    <w:rsid w:val="7F82636A"/>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Char"/>
    <w:basedOn w:val="1"/>
    <w:link w:val="6"/>
    <w:qFormat/>
    <w:uiPriority w:val="0"/>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 Char"/>
    <w:basedOn w:val="1"/>
    <w:link w:val="6"/>
    <w:qFormat/>
    <w:uiPriority w:val="0"/>
    <w:rPr>
      <w:rFonts w:ascii="宋体" w:hAnsi="宋体" w:cs="Courier New"/>
      <w:sz w:val="32"/>
      <w:szCs w:val="32"/>
    </w:rPr>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4176</Words>
  <Characters>4614</Characters>
  <Lines>0</Lines>
  <Paragraphs>0</Paragraphs>
  <TotalTime>11</TotalTime>
  <ScaleCrop>false</ScaleCrop>
  <LinksUpToDate>false</LinksUpToDate>
  <CharactersWithSpaces>4642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It.s me</cp:lastModifiedBy>
  <cp:lastPrinted>2023-03-20T16:11:00Z</cp:lastPrinted>
  <dcterms:modified xsi:type="dcterms:W3CDTF">2023-04-04T07:09:29Z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B6826F49650B405082D7540D0C7BB647</vt:lpwstr>
  </property>
</Properties>
</file>