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ind w:left="640"/>
        <w:rPr>
          <w:rFonts w:hint="eastAsia"/>
        </w:rPr>
      </w:pPr>
    </w:p>
    <w:p>
      <w:pPr>
        <w:spacing w:line="580" w:lineRule="exact"/>
        <w:rPr>
          <w:rFonts w:cs="Times New Roman"/>
        </w:rPr>
      </w:pPr>
    </w:p>
    <w:p>
      <w:pPr>
        <w:spacing w:line="580" w:lineRule="exact"/>
        <w:rPr>
          <w:rFonts w:cs="Times New Roman"/>
        </w:rPr>
      </w:pPr>
    </w:p>
    <w:p>
      <w:pPr>
        <w:spacing w:line="580" w:lineRule="exact"/>
        <w:jc w:val="center"/>
        <w:rPr>
          <w:rFonts w:eastAsia="方正小标宋简体" w:cs="Times New Roman"/>
          <w:sz w:val="44"/>
          <w:szCs w:val="36"/>
        </w:rPr>
      </w:pPr>
      <w:r>
        <w:rPr>
          <w:rFonts w:eastAsia="方正小标宋简体" w:cs="Times New Roman"/>
          <w:sz w:val="44"/>
          <w:szCs w:val="36"/>
        </w:rPr>
        <w:t>丽水市积极应对人口老龄化中长期规划</w:t>
      </w:r>
    </w:p>
    <w:p>
      <w:pPr>
        <w:spacing w:line="580" w:lineRule="exact"/>
        <w:rPr>
          <w:rFonts w:cs="Times New Roman"/>
        </w:rPr>
      </w:pPr>
      <w:bookmarkStart w:id="540" w:name="_GoBack"/>
      <w:bookmarkEnd w:id="540"/>
    </w:p>
    <w:p>
      <w:pPr>
        <w:spacing w:line="580" w:lineRule="exact"/>
        <w:rPr>
          <w:rFonts w:cs="Times New Roman"/>
        </w:rPr>
      </w:pPr>
    </w:p>
    <w:p>
      <w:pPr>
        <w:spacing w:line="580" w:lineRule="exact"/>
        <w:rPr>
          <w:rFonts w:cs="Times New Roman"/>
        </w:rPr>
      </w:pPr>
    </w:p>
    <w:p>
      <w:pPr>
        <w:spacing w:line="580" w:lineRule="exact"/>
        <w:rPr>
          <w:rFonts w:cs="Times New Roman"/>
        </w:rPr>
      </w:pPr>
    </w:p>
    <w:p>
      <w:pPr>
        <w:spacing w:line="580" w:lineRule="exact"/>
        <w:rPr>
          <w:rFonts w:cs="Times New Roman"/>
        </w:rPr>
      </w:pPr>
    </w:p>
    <w:p>
      <w:pPr>
        <w:spacing w:line="580" w:lineRule="exact"/>
        <w:rPr>
          <w:rFonts w:cs="Times New Roman"/>
        </w:rPr>
      </w:pPr>
    </w:p>
    <w:p>
      <w:pPr>
        <w:spacing w:line="580" w:lineRule="exact"/>
        <w:rPr>
          <w:rFonts w:cs="Times New Roman"/>
        </w:rPr>
      </w:pPr>
    </w:p>
    <w:p>
      <w:pPr>
        <w:spacing w:line="580" w:lineRule="exact"/>
        <w:rPr>
          <w:rFonts w:cs="Times New Roman"/>
        </w:rPr>
      </w:pPr>
    </w:p>
    <w:p>
      <w:pPr>
        <w:spacing w:line="580" w:lineRule="exact"/>
        <w:rPr>
          <w:rFonts w:cs="Times New Roman"/>
        </w:rPr>
      </w:pPr>
    </w:p>
    <w:p>
      <w:pPr>
        <w:spacing w:line="580" w:lineRule="exact"/>
        <w:rPr>
          <w:rFonts w:cs="Times New Roman"/>
        </w:rPr>
      </w:pPr>
    </w:p>
    <w:p>
      <w:pPr>
        <w:rPr>
          <w:rFonts w:cs="Times New Roman"/>
        </w:rPr>
      </w:pPr>
    </w:p>
    <w:p>
      <w:pPr>
        <w:rPr>
          <w:rFonts w:cs="Times New Roman"/>
        </w:rPr>
      </w:pPr>
    </w:p>
    <w:p>
      <w:pPr>
        <w:rPr>
          <w:rFonts w:cs="Times New Roman"/>
        </w:rPr>
      </w:pPr>
    </w:p>
    <w:p>
      <w:pPr>
        <w:pStyle w:val="19"/>
        <w:ind w:left="640"/>
      </w:pPr>
    </w:p>
    <w:p>
      <w:pPr>
        <w:spacing w:line="580" w:lineRule="exact"/>
        <w:jc w:val="center"/>
        <w:rPr>
          <w:rFonts w:eastAsia="楷体_GB2312" w:cs="Times New Roman"/>
          <w:szCs w:val="32"/>
        </w:rPr>
      </w:pPr>
      <w:r>
        <w:rPr>
          <w:rFonts w:eastAsia="楷体_GB2312" w:cs="Times New Roman"/>
          <w:szCs w:val="32"/>
        </w:rPr>
        <w:t>丽水市发展和改革委员会</w:t>
      </w:r>
    </w:p>
    <w:p>
      <w:pPr>
        <w:widowControl/>
        <w:spacing w:line="579" w:lineRule="exact"/>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二</w:t>
      </w:r>
      <w:r>
        <w:rPr>
          <w:rFonts w:ascii="Times New Roman" w:hAnsi="Times New Roman" w:eastAsia="微软雅黑" w:cs="Times New Roman"/>
          <w:sz w:val="32"/>
          <w:szCs w:val="32"/>
        </w:rPr>
        <w:t>〇</w:t>
      </w:r>
      <w:r>
        <w:rPr>
          <w:rFonts w:ascii="Times New Roman" w:hAnsi="Times New Roman" w:eastAsia="楷体_GB2312" w:cs="Times New Roman"/>
          <w:sz w:val="32"/>
          <w:szCs w:val="32"/>
        </w:rPr>
        <w:t>二一年十</w:t>
      </w:r>
      <w:r>
        <w:rPr>
          <w:rFonts w:hint="eastAsia" w:ascii="Times New Roman" w:hAnsi="Times New Roman" w:eastAsia="楷体_GB2312" w:cs="Times New Roman"/>
          <w:sz w:val="32"/>
          <w:szCs w:val="32"/>
          <w:lang w:eastAsia="zh-CN"/>
        </w:rPr>
        <w:t>二</w:t>
      </w:r>
      <w:r>
        <w:rPr>
          <w:rFonts w:ascii="Times New Roman" w:hAnsi="Times New Roman" w:eastAsia="楷体_GB2312" w:cs="Times New Roman"/>
          <w:sz w:val="32"/>
          <w:szCs w:val="32"/>
        </w:rPr>
        <w:t>月</w:t>
      </w:r>
    </w:p>
    <w:p>
      <w:pPr>
        <w:rPr>
          <w:rFonts w:cs="Times New Roman"/>
        </w:rPr>
      </w:pPr>
    </w:p>
    <w:p>
      <w:pPr>
        <w:rPr>
          <w:rFonts w:cs="Times New Roman"/>
        </w:rPr>
      </w:pPr>
    </w:p>
    <w:p>
      <w:pPr>
        <w:rPr>
          <w:rFonts w:cs="Times New Roman"/>
        </w:rPr>
      </w:pPr>
    </w:p>
    <w:p>
      <w:pPr>
        <w:jc w:val="center"/>
        <w:rPr>
          <w:rFonts w:eastAsia="黑体" w:cs="Times New Roman"/>
        </w:rPr>
      </w:pPr>
      <w:r>
        <w:rPr>
          <w:rFonts w:eastAsia="黑体" w:cs="Times New Roman"/>
        </w:rPr>
        <w:t>目 录</w:t>
      </w:r>
    </w:p>
    <w:p>
      <w:pPr>
        <w:pStyle w:val="15"/>
        <w:tabs>
          <w:tab w:val="right" w:leader="dot" w:pos="8296"/>
        </w:tabs>
        <w:rPr>
          <w:rFonts w:cs="Times New Roman" w:eastAsiaTheme="minorEastAsia"/>
          <w:sz w:val="21"/>
          <w:szCs w:val="22"/>
        </w:rPr>
      </w:pPr>
      <w:r>
        <w:rPr>
          <w:rFonts w:cs="Times New Roman"/>
        </w:rPr>
        <w:fldChar w:fldCharType="begin"/>
      </w:r>
      <w:r>
        <w:rPr>
          <w:rFonts w:cs="Times New Roman"/>
        </w:rPr>
        <w:instrText xml:space="preserve"> TOC \o "1-2" \h \z \u </w:instrText>
      </w:r>
      <w:r>
        <w:rPr>
          <w:rFonts w:cs="Times New Roman"/>
        </w:rPr>
        <w:fldChar w:fldCharType="separate"/>
      </w:r>
      <w:r>
        <w:fldChar w:fldCharType="begin"/>
      </w:r>
      <w:r>
        <w:instrText xml:space="preserve"> HYPERLINK \l "_Toc84689992" </w:instrText>
      </w:r>
      <w:r>
        <w:fldChar w:fldCharType="separate"/>
      </w:r>
      <w:r>
        <w:rPr>
          <w:rStyle w:val="25"/>
          <w:rFonts w:eastAsia="黑体" w:cs="Times New Roman"/>
        </w:rPr>
        <w:t>一、基础和形势</w:t>
      </w:r>
      <w:r>
        <w:rPr>
          <w:rFonts w:cs="Times New Roman"/>
        </w:rPr>
        <w:tab/>
      </w:r>
      <w:r>
        <w:rPr>
          <w:rFonts w:cs="Times New Roman"/>
        </w:rPr>
        <w:fldChar w:fldCharType="begin"/>
      </w:r>
      <w:r>
        <w:rPr>
          <w:rFonts w:cs="Times New Roman"/>
        </w:rPr>
        <w:instrText xml:space="preserve"> PAGEREF _Toc84689992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"_Toc84689993" </w:instrText>
      </w:r>
      <w:r>
        <w:fldChar w:fldCharType="separate"/>
      </w:r>
      <w:r>
        <w:rPr>
          <w:rStyle w:val="25"/>
          <w:rFonts w:eastAsia="楷体_GB2312" w:cs="Times New Roman"/>
        </w:rPr>
        <w:t>（一）现状特征</w:t>
      </w:r>
      <w:r>
        <w:rPr>
          <w:rFonts w:cs="Times New Roman"/>
        </w:rPr>
        <w:tab/>
      </w:r>
      <w:r>
        <w:rPr>
          <w:rFonts w:cs="Times New Roman"/>
        </w:rPr>
        <w:fldChar w:fldCharType="begin"/>
      </w:r>
      <w:r>
        <w:rPr>
          <w:rFonts w:cs="Times New Roman"/>
        </w:rPr>
        <w:instrText xml:space="preserve"> PAGEREF _Toc84689993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"_Toc84689994" </w:instrText>
      </w:r>
      <w:r>
        <w:fldChar w:fldCharType="separate"/>
      </w:r>
      <w:r>
        <w:rPr>
          <w:rStyle w:val="25"/>
          <w:rFonts w:eastAsia="楷体_GB2312" w:cs="Times New Roman"/>
        </w:rPr>
        <w:t>（二）应对基础</w:t>
      </w:r>
      <w:r>
        <w:rPr>
          <w:rFonts w:cs="Times New Roman"/>
        </w:rPr>
        <w:tab/>
      </w:r>
      <w:r>
        <w:rPr>
          <w:rFonts w:cs="Times New Roman"/>
        </w:rPr>
        <w:fldChar w:fldCharType="begin"/>
      </w:r>
      <w:r>
        <w:rPr>
          <w:rFonts w:cs="Times New Roman"/>
        </w:rPr>
        <w:instrText xml:space="preserve"> PAGEREF _Toc84689994 \h </w:instrText>
      </w:r>
      <w:r>
        <w:rPr>
          <w:rFonts w:cs="Times New Roman"/>
        </w:rPr>
        <w:fldChar w:fldCharType="separate"/>
      </w:r>
      <w:r>
        <w:rPr>
          <w:rFonts w:cs="Times New Roman"/>
        </w:rPr>
        <w:t>3</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"_Toc84689995" </w:instrText>
      </w:r>
      <w:r>
        <w:fldChar w:fldCharType="separate"/>
      </w:r>
      <w:r>
        <w:rPr>
          <w:rStyle w:val="25"/>
          <w:rFonts w:eastAsia="楷体_GB2312" w:cs="Times New Roman"/>
        </w:rPr>
        <w:t>（三）发展形势</w:t>
      </w:r>
      <w:r>
        <w:rPr>
          <w:rFonts w:cs="Times New Roman"/>
        </w:rPr>
        <w:tab/>
      </w:r>
      <w:r>
        <w:rPr>
          <w:rFonts w:cs="Times New Roman"/>
        </w:rPr>
        <w:fldChar w:fldCharType="begin"/>
      </w:r>
      <w:r>
        <w:rPr>
          <w:rFonts w:cs="Times New Roman"/>
        </w:rPr>
        <w:instrText xml:space="preserve"> PAGEREF _Toc84689995 \h </w:instrText>
      </w:r>
      <w:r>
        <w:rPr>
          <w:rFonts w:cs="Times New Roman"/>
        </w:rPr>
        <w:fldChar w:fldCharType="separate"/>
      </w:r>
      <w:r>
        <w:rPr>
          <w:rFonts w:cs="Times New Roman"/>
        </w:rPr>
        <w:t>6</w:t>
      </w:r>
      <w:r>
        <w:rPr>
          <w:rFonts w:cs="Times New Roman"/>
        </w:rPr>
        <w:fldChar w:fldCharType="end"/>
      </w:r>
      <w:r>
        <w:rPr>
          <w:rFonts w:cs="Times New Roman"/>
        </w:rPr>
        <w:fldChar w:fldCharType="end"/>
      </w:r>
    </w:p>
    <w:p>
      <w:pPr>
        <w:pStyle w:val="15"/>
        <w:tabs>
          <w:tab w:val="right" w:leader="dot" w:pos="8296"/>
        </w:tabs>
        <w:rPr>
          <w:rFonts w:cs="Times New Roman" w:eastAsiaTheme="minorEastAsia"/>
          <w:sz w:val="21"/>
          <w:szCs w:val="22"/>
        </w:rPr>
      </w:pPr>
      <w:r>
        <w:fldChar w:fldCharType="begin"/>
      </w:r>
      <w:r>
        <w:instrText xml:space="preserve"> HYPERLINK \l "_Toc84689996" </w:instrText>
      </w:r>
      <w:r>
        <w:fldChar w:fldCharType="separate"/>
      </w:r>
      <w:r>
        <w:rPr>
          <w:rStyle w:val="25"/>
          <w:rFonts w:eastAsia="黑体" w:cs="Times New Roman"/>
        </w:rPr>
        <w:t>二、总体要求</w:t>
      </w:r>
      <w:r>
        <w:rPr>
          <w:rFonts w:cs="Times New Roman"/>
        </w:rPr>
        <w:tab/>
      </w:r>
      <w:r>
        <w:rPr>
          <w:rFonts w:cs="Times New Roman"/>
        </w:rPr>
        <w:fldChar w:fldCharType="begin"/>
      </w:r>
      <w:r>
        <w:rPr>
          <w:rFonts w:cs="Times New Roman"/>
        </w:rPr>
        <w:instrText xml:space="preserve"> PAGEREF _Toc84689996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"_Toc84689997" </w:instrText>
      </w:r>
      <w:r>
        <w:fldChar w:fldCharType="separate"/>
      </w:r>
      <w:r>
        <w:rPr>
          <w:rStyle w:val="25"/>
          <w:rFonts w:eastAsia="楷体_GB2312" w:cs="Times New Roman"/>
        </w:rPr>
        <w:t>（一）指导思想</w:t>
      </w:r>
      <w:r>
        <w:rPr>
          <w:rFonts w:cs="Times New Roman"/>
        </w:rPr>
        <w:tab/>
      </w:r>
      <w:r>
        <w:rPr>
          <w:rFonts w:cs="Times New Roman"/>
        </w:rPr>
        <w:fldChar w:fldCharType="begin"/>
      </w:r>
      <w:r>
        <w:rPr>
          <w:rFonts w:cs="Times New Roman"/>
        </w:rPr>
        <w:instrText xml:space="preserve"> PAGEREF _Toc84689997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"_Toc84689998" </w:instrText>
      </w:r>
      <w:r>
        <w:fldChar w:fldCharType="separate"/>
      </w:r>
      <w:r>
        <w:rPr>
          <w:rStyle w:val="25"/>
          <w:rFonts w:eastAsia="楷体_GB2312" w:cs="Times New Roman"/>
        </w:rPr>
        <w:t>（二）基本原则</w:t>
      </w:r>
      <w:r>
        <w:rPr>
          <w:rFonts w:cs="Times New Roman"/>
        </w:rPr>
        <w:tab/>
      </w:r>
      <w:r>
        <w:rPr>
          <w:rFonts w:cs="Times New Roman"/>
        </w:rPr>
        <w:fldChar w:fldCharType="begin"/>
      </w:r>
      <w:r>
        <w:rPr>
          <w:rFonts w:cs="Times New Roman"/>
        </w:rPr>
        <w:instrText xml:space="preserve"> PAGEREF _Toc84689998 \h </w:instrText>
      </w:r>
      <w:r>
        <w:rPr>
          <w:rFonts w:cs="Times New Roman"/>
        </w:rPr>
        <w:fldChar w:fldCharType="separate"/>
      </w:r>
      <w:r>
        <w:rPr>
          <w:rFonts w:cs="Times New Roman"/>
        </w:rPr>
        <w:t>10</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"_Toc84689999" </w:instrText>
      </w:r>
      <w:r>
        <w:fldChar w:fldCharType="separate"/>
      </w:r>
      <w:r>
        <w:rPr>
          <w:rStyle w:val="25"/>
          <w:rFonts w:eastAsia="楷体_GB2312" w:cs="Times New Roman"/>
        </w:rPr>
        <w:t>（三）战略定位</w:t>
      </w:r>
      <w:r>
        <w:rPr>
          <w:rFonts w:cs="Times New Roman"/>
        </w:rPr>
        <w:tab/>
      </w:r>
      <w:r>
        <w:rPr>
          <w:rFonts w:cs="Times New Roman"/>
        </w:rPr>
        <w:fldChar w:fldCharType="begin"/>
      </w:r>
      <w:r>
        <w:rPr>
          <w:rFonts w:cs="Times New Roman"/>
        </w:rPr>
        <w:instrText xml:space="preserve"> PAGEREF _Toc84689999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"_Toc84690000" </w:instrText>
      </w:r>
      <w:r>
        <w:fldChar w:fldCharType="separate"/>
      </w:r>
      <w:r>
        <w:rPr>
          <w:rStyle w:val="25"/>
          <w:rFonts w:eastAsia="楷体_GB2312" w:cs="Times New Roman"/>
        </w:rPr>
        <w:t>（四）发展目标</w:t>
      </w:r>
      <w:r>
        <w:rPr>
          <w:rFonts w:cs="Times New Roman"/>
        </w:rPr>
        <w:tab/>
      </w:r>
      <w:r>
        <w:rPr>
          <w:rFonts w:cs="Times New Roman"/>
        </w:rPr>
        <w:fldChar w:fldCharType="begin"/>
      </w:r>
      <w:r>
        <w:rPr>
          <w:rFonts w:cs="Times New Roman"/>
        </w:rPr>
        <w:instrText xml:space="preserve"> PAGEREF _Toc84690000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pPr>
        <w:pStyle w:val="15"/>
        <w:tabs>
          <w:tab w:val="right" w:leader="dot" w:pos="8296"/>
        </w:tabs>
        <w:rPr>
          <w:rFonts w:cs="Times New Roman" w:eastAsiaTheme="minorEastAsia"/>
          <w:sz w:val="21"/>
          <w:szCs w:val="22"/>
        </w:rPr>
      </w:pPr>
      <w:r>
        <w:fldChar w:fldCharType="begin"/>
      </w:r>
      <w:r>
        <w:instrText xml:space="preserve"> HYPERLINK \l "_Toc84690001" </w:instrText>
      </w:r>
      <w:r>
        <w:fldChar w:fldCharType="separate"/>
      </w:r>
      <w:r>
        <w:rPr>
          <w:rStyle w:val="25"/>
          <w:rFonts w:eastAsia="黑体" w:cs="Times New Roman"/>
        </w:rPr>
        <w:t>三、主要任务</w:t>
      </w:r>
      <w:r>
        <w:rPr>
          <w:rFonts w:cs="Times New Roman"/>
        </w:rPr>
        <w:tab/>
      </w:r>
      <w:r>
        <w:rPr>
          <w:rFonts w:cs="Times New Roman"/>
        </w:rPr>
        <w:fldChar w:fldCharType="begin"/>
      </w:r>
      <w:r>
        <w:rPr>
          <w:rFonts w:cs="Times New Roman"/>
        </w:rPr>
        <w:instrText xml:space="preserve"> PAGEREF _Toc84690001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"_Toc84690002" </w:instrText>
      </w:r>
      <w:r>
        <w:fldChar w:fldCharType="separate"/>
      </w:r>
      <w:r>
        <w:rPr>
          <w:rStyle w:val="25"/>
          <w:rFonts w:eastAsia="楷体_GB2312" w:cs="Times New Roman"/>
        </w:rPr>
        <w:t>（一）着力构建多层次社会保障体系</w:t>
      </w:r>
      <w:r>
        <w:rPr>
          <w:rFonts w:cs="Times New Roman"/>
        </w:rPr>
        <w:tab/>
      </w:r>
      <w:r>
        <w:rPr>
          <w:rFonts w:cs="Times New Roman"/>
        </w:rPr>
        <w:fldChar w:fldCharType="begin"/>
      </w:r>
      <w:r>
        <w:rPr>
          <w:rFonts w:cs="Times New Roman"/>
        </w:rPr>
        <w:instrText xml:space="preserve"> PAGEREF _Toc84690002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"_Toc84690003" </w:instrText>
      </w:r>
      <w:r>
        <w:fldChar w:fldCharType="separate"/>
      </w:r>
      <w:r>
        <w:rPr>
          <w:rStyle w:val="25"/>
          <w:rFonts w:eastAsia="楷体_GB2312" w:cs="Times New Roman"/>
        </w:rPr>
        <w:t>（二）着力构建高质量养老服务体系</w:t>
      </w:r>
      <w:r>
        <w:rPr>
          <w:rFonts w:cs="Times New Roman"/>
        </w:rPr>
        <w:tab/>
      </w:r>
      <w:r>
        <w:rPr>
          <w:rFonts w:cs="Times New Roman"/>
        </w:rPr>
        <w:fldChar w:fldCharType="begin"/>
      </w:r>
      <w:r>
        <w:rPr>
          <w:rFonts w:cs="Times New Roman"/>
        </w:rPr>
        <w:instrText xml:space="preserve"> PAGEREF _Toc84690003 \h </w:instrText>
      </w:r>
      <w:r>
        <w:rPr>
          <w:rFonts w:cs="Times New Roman"/>
        </w:rPr>
        <w:fldChar w:fldCharType="separate"/>
      </w:r>
      <w:r>
        <w:rPr>
          <w:rFonts w:cs="Times New Roman"/>
        </w:rPr>
        <w:t>18</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"_Toc84690004" </w:instrText>
      </w:r>
      <w:r>
        <w:fldChar w:fldCharType="separate"/>
      </w:r>
      <w:r>
        <w:rPr>
          <w:rStyle w:val="25"/>
          <w:rFonts w:eastAsia="楷体_GB2312" w:cs="Times New Roman"/>
        </w:rPr>
        <w:t>（三）着力构建全周期健康支撑体系</w:t>
      </w:r>
      <w:r>
        <w:rPr>
          <w:rFonts w:cs="Times New Roman"/>
        </w:rPr>
        <w:tab/>
      </w:r>
      <w:r>
        <w:rPr>
          <w:rFonts w:cs="Times New Roman"/>
        </w:rPr>
        <w:fldChar w:fldCharType="begin"/>
      </w:r>
      <w:r>
        <w:rPr>
          <w:rFonts w:cs="Times New Roman"/>
        </w:rPr>
        <w:instrText xml:space="preserve"> PAGEREF _Toc84690004 \h </w:instrText>
      </w:r>
      <w:r>
        <w:rPr>
          <w:rFonts w:cs="Times New Roman"/>
        </w:rPr>
        <w:fldChar w:fldCharType="separate"/>
      </w:r>
      <w:r>
        <w:rPr>
          <w:rFonts w:cs="Times New Roman"/>
        </w:rPr>
        <w:t>21</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"_Toc84690005" </w:instrText>
      </w:r>
      <w:r>
        <w:fldChar w:fldCharType="separate"/>
      </w:r>
      <w:r>
        <w:rPr>
          <w:rStyle w:val="25"/>
          <w:rFonts w:eastAsia="楷体_GB2312" w:cs="Times New Roman"/>
        </w:rPr>
        <w:t>（四）着力构建适老化产品供给体系</w:t>
      </w:r>
      <w:r>
        <w:rPr>
          <w:rFonts w:cs="Times New Roman"/>
        </w:rPr>
        <w:tab/>
      </w:r>
      <w:r>
        <w:rPr>
          <w:rFonts w:cs="Times New Roman"/>
        </w:rPr>
        <w:fldChar w:fldCharType="begin"/>
      </w:r>
      <w:r>
        <w:rPr>
          <w:rFonts w:cs="Times New Roman"/>
        </w:rPr>
        <w:instrText xml:space="preserve"> PAGEREF _Toc84690005 \h </w:instrText>
      </w:r>
      <w:r>
        <w:rPr>
          <w:rFonts w:cs="Times New Roman"/>
        </w:rPr>
        <w:fldChar w:fldCharType="separate"/>
      </w:r>
      <w:r>
        <w:rPr>
          <w:rFonts w:cs="Times New Roman"/>
        </w:rPr>
        <w:t>24</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"_Toc84690006" </w:instrText>
      </w:r>
      <w:r>
        <w:fldChar w:fldCharType="separate"/>
      </w:r>
      <w:r>
        <w:rPr>
          <w:rStyle w:val="25"/>
          <w:rFonts w:eastAsia="楷体_GB2312" w:cs="Times New Roman"/>
        </w:rPr>
        <w:t>（五）着力构建均衡型人力资源体系</w:t>
      </w:r>
      <w:r>
        <w:rPr>
          <w:rFonts w:cs="Times New Roman"/>
        </w:rPr>
        <w:tab/>
      </w:r>
      <w:r>
        <w:rPr>
          <w:rFonts w:cs="Times New Roman"/>
        </w:rPr>
        <w:fldChar w:fldCharType="begin"/>
      </w:r>
      <w:r>
        <w:rPr>
          <w:rFonts w:cs="Times New Roman"/>
        </w:rPr>
        <w:instrText xml:space="preserve"> PAGEREF _Toc84690006 \h </w:instrText>
      </w:r>
      <w:r>
        <w:rPr>
          <w:rFonts w:cs="Times New Roman"/>
        </w:rPr>
        <w:fldChar w:fldCharType="separate"/>
      </w:r>
      <w:r>
        <w:rPr>
          <w:rFonts w:cs="Times New Roman"/>
        </w:rPr>
        <w:t>27</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"_Toc84690007" </w:instrText>
      </w:r>
      <w:r>
        <w:fldChar w:fldCharType="separate"/>
      </w:r>
      <w:r>
        <w:rPr>
          <w:rStyle w:val="25"/>
          <w:rFonts w:eastAsia="楷体_GB2312" w:cs="Times New Roman"/>
        </w:rPr>
        <w:t>（六）着力构建友好型社会环境体系</w:t>
      </w:r>
      <w:r>
        <w:rPr>
          <w:rFonts w:cs="Times New Roman"/>
        </w:rPr>
        <w:tab/>
      </w:r>
      <w:r>
        <w:rPr>
          <w:rFonts w:cs="Times New Roman"/>
        </w:rPr>
        <w:fldChar w:fldCharType="begin"/>
      </w:r>
      <w:r>
        <w:rPr>
          <w:rFonts w:cs="Times New Roman"/>
        </w:rPr>
        <w:instrText xml:space="preserve"> PAGEREF _Toc84690007 \h </w:instrText>
      </w:r>
      <w:r>
        <w:rPr>
          <w:rFonts w:cs="Times New Roman"/>
        </w:rPr>
        <w:fldChar w:fldCharType="separate"/>
      </w:r>
      <w:r>
        <w:rPr>
          <w:rFonts w:cs="Times New Roman"/>
        </w:rPr>
        <w:t>30</w:t>
      </w:r>
      <w:r>
        <w:rPr>
          <w:rFonts w:cs="Times New Roman"/>
        </w:rPr>
        <w:fldChar w:fldCharType="end"/>
      </w:r>
      <w:r>
        <w:rPr>
          <w:rFonts w:cs="Times New Roman"/>
        </w:rPr>
        <w:fldChar w:fldCharType="end"/>
      </w:r>
    </w:p>
    <w:p>
      <w:pPr>
        <w:pStyle w:val="15"/>
        <w:tabs>
          <w:tab w:val="right" w:leader="dot" w:pos="8296"/>
        </w:tabs>
        <w:rPr>
          <w:rFonts w:cs="Times New Roman" w:eastAsiaTheme="minorEastAsia"/>
          <w:sz w:val="21"/>
          <w:szCs w:val="22"/>
        </w:rPr>
      </w:pPr>
      <w:r>
        <w:fldChar w:fldCharType="begin"/>
      </w:r>
      <w:r>
        <w:instrText xml:space="preserve"> HYPERLINK \l "_Toc84690008" </w:instrText>
      </w:r>
      <w:r>
        <w:fldChar w:fldCharType="separate"/>
      </w:r>
      <w:r>
        <w:rPr>
          <w:rStyle w:val="25"/>
          <w:rFonts w:eastAsia="黑体" w:cs="Times New Roman"/>
        </w:rPr>
        <w:t>四、重点工程</w:t>
      </w:r>
      <w:r>
        <w:rPr>
          <w:rFonts w:cs="Times New Roman"/>
        </w:rPr>
        <w:tab/>
      </w:r>
      <w:r>
        <w:rPr>
          <w:rFonts w:cs="Times New Roman"/>
        </w:rPr>
        <w:fldChar w:fldCharType="begin"/>
      </w:r>
      <w:r>
        <w:rPr>
          <w:rFonts w:cs="Times New Roman"/>
        </w:rPr>
        <w:instrText xml:space="preserve"> PAGEREF _Toc84690008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"_Toc84690009" </w:instrText>
      </w:r>
      <w:r>
        <w:fldChar w:fldCharType="separate"/>
      </w:r>
      <w:r>
        <w:rPr>
          <w:rStyle w:val="25"/>
          <w:rFonts w:eastAsia="楷体_GB2312" w:cs="Times New Roman"/>
        </w:rPr>
        <w:t>（一）全民健康素养提质工程</w:t>
      </w:r>
      <w:r>
        <w:rPr>
          <w:rFonts w:cs="Times New Roman"/>
        </w:rPr>
        <w:tab/>
      </w:r>
      <w:r>
        <w:rPr>
          <w:rFonts w:cs="Times New Roman"/>
        </w:rPr>
        <w:fldChar w:fldCharType="begin"/>
      </w:r>
      <w:r>
        <w:rPr>
          <w:rFonts w:cs="Times New Roman"/>
        </w:rPr>
        <w:instrText xml:space="preserve"> PAGEREF _Toc84690009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"_Toc84690010" </w:instrText>
      </w:r>
      <w:r>
        <w:fldChar w:fldCharType="separate"/>
      </w:r>
      <w:r>
        <w:rPr>
          <w:rStyle w:val="25"/>
          <w:rFonts w:eastAsia="楷体_GB2312" w:cs="Times New Roman"/>
        </w:rPr>
        <w:t>（二）社区嵌入式养老服务体系完善工程</w:t>
      </w:r>
      <w:r>
        <w:rPr>
          <w:rFonts w:cs="Times New Roman"/>
        </w:rPr>
        <w:tab/>
      </w:r>
      <w:r>
        <w:rPr>
          <w:rFonts w:cs="Times New Roman"/>
        </w:rPr>
        <w:fldChar w:fldCharType="begin"/>
      </w:r>
      <w:r>
        <w:rPr>
          <w:rFonts w:cs="Times New Roman"/>
        </w:rPr>
        <w:instrText xml:space="preserve"> PAGEREF _Toc84690010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"_Toc84690011" </w:instrText>
      </w:r>
      <w:r>
        <w:fldChar w:fldCharType="separate"/>
      </w:r>
      <w:r>
        <w:rPr>
          <w:rStyle w:val="25"/>
          <w:rFonts w:eastAsia="楷体_GB2312" w:cs="Times New Roman"/>
        </w:rPr>
        <w:t>（三）康养产业发展示范工程</w:t>
      </w:r>
      <w:r>
        <w:rPr>
          <w:rFonts w:cs="Times New Roman"/>
        </w:rPr>
        <w:tab/>
      </w:r>
      <w:r>
        <w:rPr>
          <w:rFonts w:cs="Times New Roman"/>
        </w:rPr>
        <w:fldChar w:fldCharType="begin"/>
      </w:r>
      <w:r>
        <w:rPr>
          <w:rFonts w:cs="Times New Roman"/>
        </w:rPr>
        <w:instrText xml:space="preserve"> PAGEREF _Toc84690011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"_Toc84690012" </w:instrText>
      </w:r>
      <w:r>
        <w:fldChar w:fldCharType="separate"/>
      </w:r>
      <w:r>
        <w:rPr>
          <w:rStyle w:val="25"/>
          <w:rFonts w:eastAsia="楷体_GB2312" w:cs="Times New Roman"/>
        </w:rPr>
        <w:t>（四）智慧养老应用推广工程</w:t>
      </w:r>
      <w:r>
        <w:rPr>
          <w:rFonts w:cs="Times New Roman"/>
        </w:rPr>
        <w:tab/>
      </w:r>
      <w:r>
        <w:rPr>
          <w:rFonts w:cs="Times New Roman"/>
        </w:rPr>
        <w:fldChar w:fldCharType="begin"/>
      </w:r>
      <w:r>
        <w:rPr>
          <w:rFonts w:cs="Times New Roman"/>
        </w:rPr>
        <w:instrText xml:space="preserve"> PAGEREF _Toc84690012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"_Toc84690013" </w:instrText>
      </w:r>
      <w:r>
        <w:fldChar w:fldCharType="separate"/>
      </w:r>
      <w:r>
        <w:rPr>
          <w:rStyle w:val="25"/>
          <w:rFonts w:eastAsia="楷体_GB2312" w:cs="Times New Roman"/>
        </w:rPr>
        <w:t>（五）老年友好型社区打造工程</w:t>
      </w:r>
      <w:r>
        <w:rPr>
          <w:rFonts w:cs="Times New Roman"/>
        </w:rPr>
        <w:tab/>
      </w:r>
      <w:r>
        <w:rPr>
          <w:rFonts w:cs="Times New Roman"/>
        </w:rPr>
        <w:fldChar w:fldCharType="begin"/>
      </w:r>
      <w:r>
        <w:rPr>
          <w:rFonts w:cs="Times New Roman"/>
        </w:rPr>
        <w:instrText xml:space="preserve"> PAGEREF _Toc84690013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"_Toc84690014" </w:instrText>
      </w:r>
      <w:r>
        <w:fldChar w:fldCharType="separate"/>
      </w:r>
      <w:r>
        <w:rPr>
          <w:rStyle w:val="25"/>
          <w:rFonts w:eastAsia="楷体_GB2312" w:cs="Times New Roman"/>
        </w:rPr>
        <w:t>（六）普惠托育服务体系健全工程</w:t>
      </w:r>
      <w:r>
        <w:rPr>
          <w:rFonts w:cs="Times New Roman"/>
        </w:rPr>
        <w:tab/>
      </w:r>
      <w:r>
        <w:rPr>
          <w:rFonts w:cs="Times New Roman"/>
        </w:rPr>
        <w:fldChar w:fldCharType="begin"/>
      </w:r>
      <w:r>
        <w:rPr>
          <w:rFonts w:cs="Times New Roman"/>
        </w:rPr>
        <w:instrText xml:space="preserve"> PAGEREF _Toc84690014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"_Toc84690015" </w:instrText>
      </w:r>
      <w:r>
        <w:fldChar w:fldCharType="separate"/>
      </w:r>
      <w:r>
        <w:rPr>
          <w:rStyle w:val="25"/>
          <w:rFonts w:eastAsia="楷体_GB2312" w:cs="Times New Roman"/>
        </w:rPr>
        <w:t>（七）为老服务队伍增量工程</w:t>
      </w:r>
      <w:r>
        <w:rPr>
          <w:rFonts w:cs="Times New Roman"/>
        </w:rPr>
        <w:tab/>
      </w:r>
      <w:r>
        <w:rPr>
          <w:rFonts w:cs="Times New Roman"/>
        </w:rPr>
        <w:fldChar w:fldCharType="begin"/>
      </w:r>
      <w:r>
        <w:rPr>
          <w:rFonts w:cs="Times New Roman"/>
        </w:rPr>
        <w:instrText xml:space="preserve"> PAGEREF _Toc84690015 \h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pPr>
        <w:pStyle w:val="15"/>
        <w:tabs>
          <w:tab w:val="right" w:leader="dot" w:pos="8296"/>
        </w:tabs>
        <w:rPr>
          <w:rFonts w:cs="Times New Roman" w:eastAsiaTheme="minorEastAsia"/>
          <w:sz w:val="21"/>
          <w:szCs w:val="22"/>
        </w:rPr>
      </w:pPr>
      <w:r>
        <w:rPr>
          <w:rStyle w:val="25"/>
          <w:rFonts w:cs="Times New Roman"/>
          <w:u w:val="none"/>
        </w:rPr>
        <w:t xml:space="preserve">    </w:t>
      </w:r>
      <w:r>
        <w:fldChar w:fldCharType="begin"/>
      </w:r>
      <w:r>
        <w:instrText xml:space="preserve"> HYPERLINK \l "_Toc84690016" </w:instrText>
      </w:r>
      <w:r>
        <w:fldChar w:fldCharType="separate"/>
      </w:r>
      <w:r>
        <w:rPr>
          <w:rStyle w:val="25"/>
          <w:rFonts w:eastAsia="楷体_GB2312" w:cs="Times New Roman"/>
        </w:rPr>
        <w:t>（八）“长寿之乡”建设标准体系构建工程</w:t>
      </w:r>
      <w:r>
        <w:rPr>
          <w:rFonts w:cs="Times New Roman"/>
        </w:rPr>
        <w:tab/>
      </w:r>
      <w:r>
        <w:rPr>
          <w:rFonts w:cs="Times New Roman"/>
        </w:rPr>
        <w:fldChar w:fldCharType="begin"/>
      </w:r>
      <w:r>
        <w:rPr>
          <w:rFonts w:cs="Times New Roman"/>
        </w:rPr>
        <w:instrText xml:space="preserve"> PAGEREF _Toc84690016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pPr>
        <w:pStyle w:val="15"/>
        <w:tabs>
          <w:tab w:val="right" w:leader="dot" w:pos="8296"/>
        </w:tabs>
        <w:rPr>
          <w:rFonts w:cs="Times New Roman" w:eastAsiaTheme="minorEastAsia"/>
          <w:sz w:val="21"/>
          <w:szCs w:val="22"/>
        </w:rPr>
      </w:pPr>
      <w:r>
        <w:rPr>
          <w:rStyle w:val="25"/>
          <w:rFonts w:cs="Times New Roman"/>
          <w:u w:val="none"/>
        </w:rPr>
        <w:t xml:space="preserve">    </w:t>
      </w:r>
      <w:r>
        <w:fldChar w:fldCharType="begin"/>
      </w:r>
      <w:r>
        <w:instrText xml:space="preserve"> HYPERLINK \l "_Toc84690017" </w:instrText>
      </w:r>
      <w:r>
        <w:fldChar w:fldCharType="separate"/>
      </w:r>
      <w:r>
        <w:rPr>
          <w:rStyle w:val="25"/>
          <w:rFonts w:eastAsia="楷体_GB2312" w:cs="Times New Roman"/>
        </w:rPr>
        <w:t>（九）老龄社会治理创新工程</w:t>
      </w:r>
      <w:r>
        <w:rPr>
          <w:rFonts w:cs="Times New Roman"/>
        </w:rPr>
        <w:tab/>
      </w:r>
      <w:r>
        <w:rPr>
          <w:rFonts w:cs="Times New Roman"/>
        </w:rPr>
        <w:fldChar w:fldCharType="begin"/>
      </w:r>
      <w:r>
        <w:rPr>
          <w:rFonts w:cs="Times New Roman"/>
        </w:rPr>
        <w:instrText xml:space="preserve"> PAGEREF _Toc84690017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pPr>
        <w:pStyle w:val="15"/>
        <w:tabs>
          <w:tab w:val="right" w:leader="dot" w:pos="8296"/>
        </w:tabs>
        <w:rPr>
          <w:rFonts w:cs="Times New Roman" w:eastAsiaTheme="minorEastAsia"/>
          <w:sz w:val="21"/>
          <w:szCs w:val="22"/>
        </w:rPr>
      </w:pPr>
      <w:r>
        <w:fldChar w:fldCharType="begin"/>
      </w:r>
      <w:r>
        <w:instrText xml:space="preserve"> HYPERLINK \l "_Toc84690018" </w:instrText>
      </w:r>
      <w:r>
        <w:fldChar w:fldCharType="separate"/>
      </w:r>
      <w:r>
        <w:rPr>
          <w:rStyle w:val="25"/>
          <w:rFonts w:eastAsia="黑体" w:cs="Times New Roman"/>
        </w:rPr>
        <w:t>五、保障措施</w:t>
      </w:r>
      <w:r>
        <w:rPr>
          <w:rFonts w:cs="Times New Roman"/>
        </w:rPr>
        <w:tab/>
      </w:r>
      <w:r>
        <w:rPr>
          <w:rFonts w:cs="Times New Roman"/>
        </w:rPr>
        <w:fldChar w:fldCharType="begin"/>
      </w:r>
      <w:r>
        <w:rPr>
          <w:rFonts w:cs="Times New Roman"/>
        </w:rPr>
        <w:instrText xml:space="preserve"> PAGEREF _Toc84690018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"_Toc84690019" </w:instrText>
      </w:r>
      <w:r>
        <w:fldChar w:fldCharType="separate"/>
      </w:r>
      <w:r>
        <w:rPr>
          <w:rStyle w:val="25"/>
          <w:rFonts w:eastAsia="楷体_GB2312" w:cs="Times New Roman"/>
        </w:rPr>
        <w:t>（一）加强组织领导</w:t>
      </w:r>
      <w:r>
        <w:rPr>
          <w:rFonts w:cs="Times New Roman"/>
        </w:rPr>
        <w:tab/>
      </w:r>
      <w:r>
        <w:rPr>
          <w:rFonts w:cs="Times New Roman"/>
        </w:rPr>
        <w:fldChar w:fldCharType="begin"/>
      </w:r>
      <w:r>
        <w:rPr>
          <w:rFonts w:cs="Times New Roman"/>
        </w:rPr>
        <w:instrText xml:space="preserve"> PAGEREF _Toc84690019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"_Toc84690020" </w:instrText>
      </w:r>
      <w:r>
        <w:fldChar w:fldCharType="separate"/>
      </w:r>
      <w:r>
        <w:rPr>
          <w:rStyle w:val="25"/>
          <w:rFonts w:eastAsia="楷体_GB2312" w:cs="Times New Roman"/>
        </w:rPr>
        <w:t>（二）完善投入机制</w:t>
      </w:r>
      <w:r>
        <w:rPr>
          <w:rFonts w:cs="Times New Roman"/>
        </w:rPr>
        <w:tab/>
      </w:r>
      <w:r>
        <w:rPr>
          <w:rFonts w:cs="Times New Roman"/>
        </w:rPr>
        <w:fldChar w:fldCharType="begin"/>
      </w:r>
      <w:r>
        <w:rPr>
          <w:rFonts w:cs="Times New Roman"/>
        </w:rPr>
        <w:instrText xml:space="preserve"> PAGEREF _Toc84690020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"_Toc84690021" </w:instrText>
      </w:r>
      <w:r>
        <w:fldChar w:fldCharType="separate"/>
      </w:r>
      <w:r>
        <w:rPr>
          <w:rStyle w:val="25"/>
          <w:rFonts w:eastAsia="楷体_GB2312" w:cs="Times New Roman"/>
        </w:rPr>
        <w:t>（三）壮大工作队伍</w:t>
      </w:r>
      <w:r>
        <w:rPr>
          <w:rFonts w:cs="Times New Roman"/>
        </w:rPr>
        <w:tab/>
      </w:r>
      <w:r>
        <w:rPr>
          <w:rFonts w:cs="Times New Roman"/>
        </w:rPr>
        <w:fldChar w:fldCharType="begin"/>
      </w:r>
      <w:r>
        <w:rPr>
          <w:rFonts w:cs="Times New Roman"/>
        </w:rPr>
        <w:instrText xml:space="preserve"> PAGEREF _Toc84690021 \h </w:instrText>
      </w:r>
      <w:r>
        <w:rPr>
          <w:rFonts w:cs="Times New Roman"/>
        </w:rPr>
        <w:fldChar w:fldCharType="separate"/>
      </w:r>
      <w:r>
        <w:rPr>
          <w:rFonts w:cs="Times New Roman"/>
        </w:rPr>
        <w:t>40</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"_Toc84690022" </w:instrText>
      </w:r>
      <w:r>
        <w:fldChar w:fldCharType="separate"/>
      </w:r>
      <w:r>
        <w:rPr>
          <w:rStyle w:val="25"/>
          <w:rFonts w:eastAsia="楷体_GB2312" w:cs="Times New Roman"/>
        </w:rPr>
        <w:t>（四）加强数据支撑</w:t>
      </w:r>
      <w:r>
        <w:rPr>
          <w:rFonts w:cs="Times New Roman"/>
        </w:rPr>
        <w:tab/>
      </w:r>
      <w:r>
        <w:rPr>
          <w:rFonts w:cs="Times New Roman"/>
        </w:rPr>
        <w:fldChar w:fldCharType="begin"/>
      </w:r>
      <w:r>
        <w:rPr>
          <w:rFonts w:cs="Times New Roman"/>
        </w:rPr>
        <w:instrText xml:space="preserve"> PAGEREF _Toc84690022 \h </w:instrText>
      </w:r>
      <w:r>
        <w:rPr>
          <w:rFonts w:cs="Times New Roman"/>
        </w:rPr>
        <w:fldChar w:fldCharType="separate"/>
      </w:r>
      <w:r>
        <w:rPr>
          <w:rFonts w:cs="Times New Roman"/>
        </w:rPr>
        <w:t>40</w:t>
      </w:r>
      <w:r>
        <w:rPr>
          <w:rFonts w:cs="Times New Roman"/>
        </w:rPr>
        <w:fldChar w:fldCharType="end"/>
      </w:r>
      <w:r>
        <w:rPr>
          <w:rFonts w:cs="Times New Roman"/>
        </w:rPr>
        <w:fldChar w:fldCharType="end"/>
      </w:r>
    </w:p>
    <w:p>
      <w:pPr>
        <w:pStyle w:val="17"/>
        <w:tabs>
          <w:tab w:val="right" w:leader="dot" w:pos="8296"/>
        </w:tabs>
        <w:ind w:left="640"/>
        <w:rPr>
          <w:rFonts w:cs="Times New Roman" w:eastAsiaTheme="minorEastAsia"/>
          <w:sz w:val="21"/>
          <w:szCs w:val="22"/>
        </w:rPr>
      </w:pPr>
      <w:r>
        <w:fldChar w:fldCharType="begin"/>
      </w:r>
      <w:r>
        <w:instrText xml:space="preserve"> HYPERLINK \l "_Toc84690023" </w:instrText>
      </w:r>
      <w:r>
        <w:fldChar w:fldCharType="separate"/>
      </w:r>
      <w:r>
        <w:rPr>
          <w:rStyle w:val="25"/>
          <w:rFonts w:eastAsia="楷体_GB2312" w:cs="Times New Roman"/>
        </w:rPr>
        <w:t>（五）加强统计监测</w:t>
      </w:r>
      <w:r>
        <w:rPr>
          <w:rFonts w:cs="Times New Roman"/>
        </w:rPr>
        <w:tab/>
      </w:r>
      <w:r>
        <w:rPr>
          <w:rFonts w:cs="Times New Roman"/>
        </w:rPr>
        <w:fldChar w:fldCharType="begin"/>
      </w:r>
      <w:r>
        <w:rPr>
          <w:rFonts w:cs="Times New Roman"/>
        </w:rPr>
        <w:instrText xml:space="preserve"> PAGEREF _Toc84690023 \h </w:instrText>
      </w:r>
      <w:r>
        <w:rPr>
          <w:rFonts w:cs="Times New Roman"/>
        </w:rPr>
        <w:fldChar w:fldCharType="separate"/>
      </w:r>
      <w:r>
        <w:rPr>
          <w:rFonts w:cs="Times New Roman"/>
        </w:rPr>
        <w:t>40</w:t>
      </w:r>
      <w:r>
        <w:rPr>
          <w:rFonts w:cs="Times New Roman"/>
        </w:rPr>
        <w:fldChar w:fldCharType="end"/>
      </w:r>
      <w:r>
        <w:rPr>
          <w:rFonts w:cs="Times New Roman"/>
        </w:rPr>
        <w:fldChar w:fldCharType="end"/>
      </w:r>
    </w:p>
    <w:p>
      <w:pPr>
        <w:pStyle w:val="17"/>
        <w:tabs>
          <w:tab w:val="right" w:leader="dot" w:pos="8296"/>
        </w:tabs>
        <w:ind w:left="640"/>
        <w:rPr>
          <w:rStyle w:val="25"/>
          <w:rFonts w:cs="Times New Roman"/>
        </w:rPr>
      </w:pPr>
      <w:r>
        <w:fldChar w:fldCharType="begin"/>
      </w:r>
      <w:r>
        <w:instrText xml:space="preserve"> HYPERLINK \l "_Toc84690024" </w:instrText>
      </w:r>
      <w:r>
        <w:fldChar w:fldCharType="separate"/>
      </w:r>
      <w:r>
        <w:rPr>
          <w:rStyle w:val="25"/>
          <w:rFonts w:eastAsia="楷体_GB2312" w:cs="Times New Roman"/>
        </w:rPr>
        <w:t>（六）加强舆论引导</w:t>
      </w:r>
      <w:r>
        <w:rPr>
          <w:rFonts w:cs="Times New Roman"/>
        </w:rPr>
        <w:tab/>
      </w:r>
      <w:r>
        <w:rPr>
          <w:rFonts w:cs="Times New Roman"/>
        </w:rPr>
        <w:fldChar w:fldCharType="begin"/>
      </w:r>
      <w:r>
        <w:rPr>
          <w:rFonts w:cs="Times New Roman"/>
        </w:rPr>
        <w:instrText xml:space="preserve"> PAGEREF _Toc84690024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pPr>
        <w:pStyle w:val="9"/>
        <w:jc w:val="left"/>
        <w:rPr>
          <w:rFonts w:hint="eastAsia" w:ascii="Times New Roman" w:hAnsi="Times New Roman" w:eastAsia="仿宋_GB2312"/>
          <w:sz w:val="32"/>
          <w:szCs w:val="32"/>
          <w:lang w:val="en-US" w:eastAsia="zh-CN"/>
        </w:rPr>
      </w:pPr>
      <w:r>
        <w:rPr>
          <w:rFonts w:hint="eastAsia" w:ascii="Times New Roman" w:hAnsi="Times New Roman" w:eastAsia="黑体" w:cs="Times New Roman"/>
          <w:b w:val="0"/>
          <w:kern w:val="2"/>
          <w:sz w:val="32"/>
          <w:szCs w:val="32"/>
          <w:lang w:val="en-US" w:eastAsia="zh-CN" w:bidi="ar-SA"/>
        </w:rPr>
        <w:t>附表：1.</w:t>
      </w:r>
      <w:r>
        <w:rPr>
          <w:rFonts w:hint="eastAsia" w:ascii="Times New Roman" w:hAnsi="Times New Roman" w:eastAsia="仿宋_GB2312"/>
          <w:sz w:val="32"/>
          <w:szCs w:val="32"/>
          <w:lang w:val="en-US" w:eastAsia="zh-CN"/>
        </w:rPr>
        <w:t>丽水市积极应对人口老龄化中长期规划项目表</w:t>
      </w:r>
    </w:p>
    <w:p>
      <w:pPr>
        <w:pStyle w:val="3"/>
        <w:spacing w:before="0" w:after="0" w:line="400" w:lineRule="atLeast"/>
        <w:ind w:left="640" w:hanging="640" w:hangingChars="200"/>
        <w:jc w:val="left"/>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val="en-US" w:eastAsia="zh-CN"/>
        </w:rPr>
        <w:t>2.</w:t>
      </w:r>
      <w:r>
        <w:rPr>
          <w:rFonts w:hint="eastAsia" w:ascii="仿宋_GB2312" w:hAnsi="仿宋_GB2312" w:eastAsia="仿宋_GB2312" w:cs="仿宋_GB2312"/>
          <w:sz w:val="32"/>
          <w:szCs w:val="32"/>
          <w:shd w:val="clear" w:color="auto" w:fill="FFFFFF"/>
        </w:rPr>
        <w:t>丽水市</w:t>
      </w:r>
      <w:r>
        <w:rPr>
          <w:rFonts w:hint="eastAsia" w:ascii="仿宋_GB2312" w:hAnsi="仿宋_GB2312" w:eastAsia="仿宋_GB2312" w:cs="仿宋_GB2312"/>
          <w:sz w:val="32"/>
          <w:szCs w:val="32"/>
          <w:shd w:val="clear" w:color="auto" w:fill="FFFFFF"/>
          <w:lang w:eastAsia="zh-CN"/>
        </w:rPr>
        <w:t>积极</w:t>
      </w:r>
      <w:r>
        <w:rPr>
          <w:rFonts w:hint="eastAsia" w:ascii="仿宋_GB2312" w:hAnsi="仿宋_GB2312" w:eastAsia="仿宋_GB2312" w:cs="仿宋_GB2312"/>
          <w:sz w:val="32"/>
          <w:szCs w:val="32"/>
          <w:shd w:val="clear" w:color="auto" w:fill="FFFFFF"/>
        </w:rPr>
        <w:t>应对人口老龄化</w:t>
      </w:r>
      <w:r>
        <w:rPr>
          <w:rFonts w:hint="eastAsia" w:ascii="仿宋_GB2312" w:hAnsi="仿宋_GB2312" w:eastAsia="仿宋_GB2312" w:cs="仿宋_GB2312"/>
          <w:sz w:val="32"/>
          <w:szCs w:val="32"/>
          <w:shd w:val="clear" w:color="auto" w:fill="FFFFFF"/>
          <w:lang w:eastAsia="zh-CN"/>
        </w:rPr>
        <w:t>中长期规划</w:t>
      </w:r>
      <w:r>
        <w:rPr>
          <w:rFonts w:hint="eastAsia" w:ascii="仿宋_GB2312" w:hAnsi="仿宋_GB2312" w:eastAsia="仿宋_GB2312" w:cs="仿宋_GB2312"/>
          <w:sz w:val="32"/>
          <w:szCs w:val="32"/>
          <w:shd w:val="clear" w:color="auto" w:fill="FFFFFF"/>
        </w:rPr>
        <w:t>重大任务清</w:t>
      </w:r>
      <w:r>
        <w:rPr>
          <w:rFonts w:hint="eastAsia" w:ascii="仿宋_GB2312" w:hAnsi="仿宋_GB2312" w:eastAsia="仿宋_GB2312" w:cs="仿宋_GB2312"/>
          <w:sz w:val="32"/>
          <w:szCs w:val="32"/>
          <w:shd w:val="clear" w:color="auto" w:fill="FFFFFF"/>
          <w:lang w:eastAsia="zh-CN"/>
        </w:rPr>
        <w:t>单</w:t>
      </w:r>
    </w:p>
    <w:p>
      <w:pPr>
        <w:pStyle w:val="3"/>
        <w:spacing w:before="0" w:after="0" w:line="400" w:lineRule="atLeast"/>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shd w:val="clear" w:color="auto" w:fill="FFFFFF"/>
          <w:lang w:val="en-US" w:eastAsia="zh-CN"/>
        </w:rPr>
        <w:t>3.名词解释</w:t>
      </w:r>
    </w:p>
    <w:p>
      <w:pPr>
        <w:pStyle w:val="9"/>
        <w:jc w:val="both"/>
        <w:rPr>
          <w:rFonts w:hint="default" w:ascii="Times New Roman" w:hAnsi="Times New Roman" w:eastAsia="仿宋_GB2312"/>
          <w:sz w:val="32"/>
          <w:szCs w:val="32"/>
          <w:lang w:val="en-US" w:eastAsia="zh-CN"/>
        </w:rPr>
      </w:pPr>
    </w:p>
    <w:p>
      <w:pPr>
        <w:widowControl/>
        <w:tabs>
          <w:tab w:val="left" w:pos="0"/>
        </w:tabs>
        <w:spacing w:line="520" w:lineRule="exact"/>
        <w:ind w:left="0" w:leftChars="0" w:firstLine="0" w:firstLineChars="0"/>
        <w:rPr>
          <w:rFonts w:hint="eastAsia" w:ascii="Times New Roman" w:hAnsi="Times New Roman" w:eastAsia="仿宋_GB2312"/>
          <w:sz w:val="32"/>
          <w:szCs w:val="32"/>
          <w:lang w:eastAsia="zh-CN"/>
        </w:rPr>
      </w:pPr>
    </w:p>
    <w:p>
      <w:pPr>
        <w:rPr>
          <w:rFonts w:cs="Times New Roman"/>
        </w:rPr>
      </w:pPr>
    </w:p>
    <w:p>
      <w:pPr>
        <w:rPr>
          <w:rFonts w:cs="Times New Roman"/>
        </w:rPr>
        <w:sectPr>
          <w:pgSz w:w="11906" w:h="16838"/>
          <w:pgMar w:top="1440" w:right="1800" w:bottom="1440" w:left="1800" w:header="851" w:footer="992" w:gutter="0"/>
          <w:cols w:space="425" w:num="1"/>
          <w:docGrid w:type="lines" w:linePitch="312" w:charSpace="0"/>
        </w:sectPr>
      </w:pPr>
      <w:r>
        <w:rPr>
          <w:rFonts w:cs="Times New Roman"/>
        </w:rPr>
        <w:fldChar w:fldCharType="end"/>
      </w:r>
    </w:p>
    <w:p>
      <w:pPr>
        <w:widowControl/>
        <w:spacing w:line="592" w:lineRule="exact"/>
        <w:ind w:firstLine="640" w:firstLineChars="200"/>
        <w:rPr>
          <w:rFonts w:cs="Times New Roman"/>
          <w:szCs w:val="32"/>
        </w:rPr>
      </w:pPr>
      <w:r>
        <w:rPr>
          <w:rFonts w:cs="Times New Roman"/>
          <w:szCs w:val="32"/>
        </w:rPr>
        <w:t>2020-2050年是我国在全面建成小康社会的基础上分“两步走”全面建设社会主义现代化国家的历史阶段，也是积极应对人口老龄化的重要战略机遇窗口期。积极应对人口老龄化，事关国家发展和民生福祉，是实现经济高质量发展、维护国家安全和社会稳定的重要举措。</w:t>
      </w:r>
      <w:r>
        <w:rPr>
          <w:rFonts w:cs="Times New Roman"/>
        </w:rPr>
        <w:t>为及时、科学、综合应对人口老龄化，促进人口老龄化与经济社会发展相适应，支撑我市建成共同富裕美好社会山区样板，打造全面展示浙江高水平生态文明建设和高质量绿色发展成果和经验的重要窗口，</w:t>
      </w:r>
      <w:r>
        <w:rPr>
          <w:rFonts w:cs="Times New Roman"/>
          <w:szCs w:val="32"/>
        </w:rPr>
        <w:t>根据《国家积极应对人口老龄化中长期规划》和《丽水市国民经济和社会发展第十四个五年规划和二</w:t>
      </w:r>
      <w:r>
        <w:rPr>
          <w:rFonts w:eastAsia="微软雅黑" w:cs="Times New Roman"/>
          <w:szCs w:val="32"/>
        </w:rPr>
        <w:t>〇</w:t>
      </w:r>
      <w:r>
        <w:rPr>
          <w:rFonts w:cs="Times New Roman"/>
          <w:szCs w:val="32"/>
        </w:rPr>
        <w:t>三五年远景目标纲要》等，制定本规划。规划中期至2025年，远期至2035年，展望至2050年，是到本世纪中叶我市积极应对人口老龄化的战略性、综合性、指导性文件。</w:t>
      </w:r>
    </w:p>
    <w:p>
      <w:pPr>
        <w:pStyle w:val="3"/>
        <w:spacing w:before="0" w:after="0" w:line="592" w:lineRule="exact"/>
        <w:ind w:firstLine="640" w:firstLineChars="200"/>
        <w:jc w:val="both"/>
        <w:rPr>
          <w:rFonts w:eastAsia="黑体" w:cs="Times New Roman"/>
          <w:sz w:val="32"/>
          <w:szCs w:val="32"/>
        </w:rPr>
      </w:pPr>
      <w:bookmarkStart w:id="0" w:name="_Toc83561882"/>
      <w:bookmarkStart w:id="1" w:name="_Toc678"/>
      <w:bookmarkStart w:id="2" w:name="_Toc14543"/>
      <w:bookmarkStart w:id="3" w:name="_Toc18398"/>
      <w:bookmarkStart w:id="4" w:name="_Toc2129"/>
      <w:bookmarkStart w:id="5" w:name="_Toc4198"/>
      <w:bookmarkStart w:id="6" w:name="_Toc84689992"/>
      <w:bookmarkStart w:id="7" w:name="_Toc29125"/>
      <w:bookmarkStart w:id="8" w:name="_Toc13376"/>
      <w:bookmarkStart w:id="9" w:name="_Toc14016"/>
      <w:bookmarkStart w:id="10" w:name="_Toc6185"/>
      <w:bookmarkStart w:id="11" w:name="_Toc24246"/>
      <w:bookmarkStart w:id="12" w:name="_Toc32697"/>
      <w:bookmarkStart w:id="13" w:name="_Toc19130"/>
      <w:bookmarkStart w:id="14" w:name="_Toc4085"/>
      <w:bookmarkStart w:id="15" w:name="_Toc3692"/>
      <w:bookmarkStart w:id="16" w:name="_Toc5458"/>
      <w:bookmarkStart w:id="17" w:name="_Toc15431"/>
      <w:r>
        <w:rPr>
          <w:rFonts w:eastAsia="黑体" w:cs="Times New Roman"/>
          <w:sz w:val="32"/>
          <w:szCs w:val="32"/>
        </w:rPr>
        <w:t>一、基础和形势</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pStyle w:val="4"/>
        <w:ind w:firstLine="642" w:firstLineChars="200"/>
        <w:rPr>
          <w:rFonts w:eastAsia="楷体_GB2312" w:cs="Times New Roman"/>
          <w:b/>
        </w:rPr>
      </w:pPr>
      <w:bookmarkStart w:id="18" w:name="_Toc14477"/>
      <w:bookmarkStart w:id="19" w:name="_Toc8389"/>
      <w:bookmarkStart w:id="20" w:name="_Toc5158"/>
      <w:bookmarkStart w:id="21" w:name="_Toc8984"/>
      <w:bookmarkStart w:id="22" w:name="_Toc23921"/>
      <w:bookmarkStart w:id="23" w:name="_Toc7807"/>
      <w:bookmarkStart w:id="24" w:name="_Toc10971"/>
      <w:bookmarkStart w:id="25" w:name="_Toc11973"/>
      <w:bookmarkStart w:id="26" w:name="_Toc4043"/>
      <w:bookmarkStart w:id="27" w:name="_Toc27445"/>
      <w:bookmarkStart w:id="28" w:name="_Toc83561883"/>
      <w:bookmarkStart w:id="29" w:name="_Toc11423"/>
      <w:bookmarkStart w:id="30" w:name="_Toc7591"/>
      <w:bookmarkStart w:id="31" w:name="_Toc7842"/>
      <w:bookmarkStart w:id="32" w:name="_Toc84689993"/>
      <w:bookmarkStart w:id="33" w:name="_Toc2194"/>
      <w:bookmarkStart w:id="34" w:name="_Toc23826"/>
      <w:bookmarkStart w:id="35" w:name="_Toc2069"/>
      <w:r>
        <w:rPr>
          <w:rFonts w:eastAsia="楷体_GB2312" w:cs="Times New Roman"/>
          <w:b/>
        </w:rPr>
        <w:t>（一）现状特征</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spacing w:line="592" w:lineRule="exact"/>
        <w:ind w:firstLine="642" w:firstLineChars="200"/>
        <w:rPr>
          <w:rFonts w:cs="Times New Roman"/>
          <w:szCs w:val="32"/>
        </w:rPr>
      </w:pPr>
      <w:r>
        <w:rPr>
          <w:rFonts w:eastAsia="楷体_GB2312" w:cs="Times New Roman"/>
          <w:b/>
          <w:bCs/>
        </w:rPr>
        <w:t>从人口总量看，常住人口持续增长，户籍人口基本稳定。</w:t>
      </w:r>
      <w:r>
        <w:rPr>
          <w:rFonts w:cs="Times New Roman"/>
          <w:szCs w:val="32"/>
        </w:rPr>
        <w:t>常住人口方面，2020年全市共有常住人口250.8万人，比2010年增加39.1万人，“十三五”期间年均增长1.45%，持续保持较好的增长态势。户籍人口方面，2020年全市共有户籍人口270.74万人，比2010年增加11.1万人，“十三五”期间累计增长1.64%，较“十二五”时期增加0.35个百分点。总体上看，全市户籍人口规模大于常住人口，但两者差距在逐步缩小。</w:t>
      </w:r>
    </w:p>
    <w:p>
      <w:pPr>
        <w:pStyle w:val="19"/>
        <w:ind w:left="0" w:leftChars="0" w:firstLine="0"/>
        <w:jc w:val="center"/>
      </w:pPr>
      <w:r>
        <w:drawing>
          <wp:inline distT="0" distB="0" distL="114300" distR="114300">
            <wp:extent cx="5045710" cy="3018790"/>
            <wp:effectExtent l="19050" t="0" r="2433"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5" cstate="print"/>
                    <a:stretch>
                      <a:fillRect/>
                    </a:stretch>
                  </pic:blipFill>
                  <pic:spPr>
                    <a:xfrm>
                      <a:off x="0" y="0"/>
                      <a:ext cx="5051703" cy="3022363"/>
                    </a:xfrm>
                    <a:prstGeom prst="rect">
                      <a:avLst/>
                    </a:prstGeom>
                    <a:noFill/>
                    <a:ln>
                      <a:noFill/>
                    </a:ln>
                  </pic:spPr>
                </pic:pic>
              </a:graphicData>
            </a:graphic>
          </wp:inline>
        </w:drawing>
      </w:r>
    </w:p>
    <w:p>
      <w:pPr>
        <w:jc w:val="center"/>
        <w:rPr>
          <w:rFonts w:eastAsia="黑体" w:cs="Times New Roman"/>
          <w:bCs/>
          <w:sz w:val="28"/>
          <w:szCs w:val="28"/>
        </w:rPr>
      </w:pPr>
      <w:r>
        <w:rPr>
          <w:rFonts w:eastAsia="黑体" w:cs="Times New Roman"/>
          <w:bCs/>
          <w:sz w:val="28"/>
          <w:szCs w:val="28"/>
        </w:rPr>
        <w:t>图1 2010—2020年丽水市人口变化情况（万人）</w:t>
      </w:r>
    </w:p>
    <w:p>
      <w:pPr>
        <w:spacing w:line="592" w:lineRule="exact"/>
        <w:ind w:firstLine="642" w:firstLineChars="200"/>
        <w:rPr>
          <w:rFonts w:cs="Times New Roman"/>
          <w:szCs w:val="32"/>
        </w:rPr>
      </w:pPr>
      <w:r>
        <w:rPr>
          <w:rFonts w:eastAsia="楷体_GB2312" w:cs="Times New Roman"/>
          <w:b/>
          <w:bCs/>
        </w:rPr>
        <w:t>从老年人口看，总量规模持续扩大，已迈入中等老龄化阶段。</w:t>
      </w:r>
      <w:r>
        <w:rPr>
          <w:rFonts w:cs="Times New Roman"/>
          <w:bCs/>
          <w:szCs w:val="36"/>
        </w:rPr>
        <w:t>常住人口中，2020年全市</w:t>
      </w:r>
      <w:r>
        <w:rPr>
          <w:rFonts w:cs="Times New Roman"/>
          <w:szCs w:val="32"/>
        </w:rPr>
        <w:t>60岁及以上的老年人口53.25万人，占总人口比重的21.24%，比2010年提高了4.62个百分点；全市60岁及以上常住老年人口总量占全省比重为4.41%，常住人口老龄化程度比全省面上水平的18.7%高出2.54个百分点。户籍人口中，2020年全市60岁及以上的老年人口为55.1万人，占总人口比重的20.35%，户籍人口老龄化程度比全省面上水平的23.43%低3.08个百分点。综合来看，全市已迈入中度老龄化阶段。</w:t>
      </w:r>
    </w:p>
    <w:p>
      <w:pPr>
        <w:widowControl/>
        <w:spacing w:line="592" w:lineRule="exact"/>
        <w:ind w:firstLine="643"/>
        <w:rPr>
          <w:rFonts w:cs="Times New Roman"/>
        </w:rPr>
      </w:pPr>
      <w:r>
        <w:rPr>
          <w:rFonts w:eastAsia="楷体_GB2312" w:cs="Times New Roman"/>
          <w:b/>
          <w:bCs/>
        </w:rPr>
        <w:t>从年龄结构看，低龄老人仍为主体，持续性长寿特点鲜明。</w:t>
      </w:r>
      <w:r>
        <w:rPr>
          <w:rFonts w:cs="Times New Roman"/>
        </w:rPr>
        <w:t>随着经济社会的不断发展和居民健康水平的不断提升，人均预期寿命持续增长，目前全市人均预期寿命已达81岁。</w:t>
      </w:r>
      <w:r>
        <w:rPr>
          <w:rFonts w:cs="Times New Roman"/>
          <w:szCs w:val="32"/>
        </w:rPr>
        <w:t>2020年，全市60-69岁的户籍低龄老人规模为30.2万人，</w:t>
      </w:r>
      <w:r>
        <w:rPr>
          <w:rFonts w:cs="Times New Roman"/>
        </w:rPr>
        <w:t>占老年总人口的54.7%；80岁及以上的户籍高龄老人达9.42万人，占老年人口比重为17.06%；百岁及以上户籍老人达184人。</w:t>
      </w:r>
      <w:r>
        <w:rPr>
          <w:rFonts w:cs="Times New Roman"/>
          <w:szCs w:val="32"/>
        </w:rPr>
        <w:t>60岁以上老人、80岁以上老人和百岁老人比例呈现正三角形阶梯状。</w:t>
      </w:r>
    </w:p>
    <w:p>
      <w:pPr>
        <w:spacing w:line="592" w:lineRule="exact"/>
        <w:ind w:firstLine="642" w:firstLineChars="200"/>
        <w:rPr>
          <w:rFonts w:cs="Times New Roman"/>
          <w:szCs w:val="32"/>
        </w:rPr>
      </w:pPr>
      <w:r>
        <w:rPr>
          <w:rFonts w:eastAsia="楷体_GB2312" w:cs="Times New Roman"/>
          <w:b/>
          <w:bCs/>
        </w:rPr>
        <w:t>从空间分布看，老龄化地区差异明显，“乡高城低”“北高南低”特征突出。</w:t>
      </w:r>
      <w:r>
        <w:rPr>
          <w:rFonts w:cs="Times New Roman"/>
          <w:szCs w:val="32"/>
        </w:rPr>
        <w:t>按照户籍人口计算，2020年全市农村老龄化率为20.6%，城镇老龄化率为19.8%，农村老龄化率比城镇高近1个百分点。同时，遂昌县、缙云县、松阳县、莲都区等地户籍人口老龄化率较高，普遍高于20%；青田县、庆元县、景宁县等地区老龄化率普遍低于19%，全市总体上呈“北高南低”特征。</w:t>
      </w:r>
    </w:p>
    <w:p>
      <w:pPr>
        <w:pStyle w:val="19"/>
        <w:ind w:left="0" w:leftChars="0" w:firstLine="0"/>
        <w:jc w:val="center"/>
      </w:pPr>
      <w:r>
        <w:drawing>
          <wp:inline distT="0" distB="0" distL="114300" distR="114300">
            <wp:extent cx="4844415" cy="2896870"/>
            <wp:effectExtent l="19050" t="0" r="12772" b="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jc w:val="center"/>
        <w:rPr>
          <w:rFonts w:eastAsia="黑体" w:cs="Times New Roman"/>
          <w:bCs/>
          <w:sz w:val="28"/>
          <w:szCs w:val="28"/>
        </w:rPr>
      </w:pPr>
      <w:r>
        <w:rPr>
          <w:rFonts w:eastAsia="黑体" w:cs="Times New Roman"/>
          <w:bCs/>
          <w:sz w:val="28"/>
          <w:szCs w:val="28"/>
        </w:rPr>
        <w:t>图2 2020年丽水市各县（市、区）户籍老龄化程度</w:t>
      </w:r>
    </w:p>
    <w:p>
      <w:pPr>
        <w:pStyle w:val="4"/>
        <w:rPr>
          <w:rFonts w:eastAsia="楷体_GB2312" w:cs="Times New Roman"/>
          <w:b/>
        </w:rPr>
      </w:pPr>
      <w:bookmarkStart w:id="36" w:name="_Toc1261"/>
      <w:bookmarkStart w:id="37" w:name="_Toc3767"/>
      <w:bookmarkStart w:id="38" w:name="_Toc17696"/>
      <w:bookmarkStart w:id="39" w:name="_Toc27570"/>
      <w:bookmarkStart w:id="40" w:name="_Toc2157"/>
      <w:bookmarkStart w:id="41" w:name="_Toc1455"/>
      <w:bookmarkStart w:id="42" w:name="_Toc31739"/>
      <w:bookmarkStart w:id="43" w:name="_Toc15546"/>
      <w:bookmarkStart w:id="44" w:name="_Toc5528"/>
      <w:bookmarkStart w:id="45" w:name="_Toc5489"/>
      <w:bookmarkStart w:id="46" w:name="_Toc15314"/>
      <w:bookmarkStart w:id="47" w:name="_Toc24447"/>
      <w:bookmarkStart w:id="48" w:name="_Toc25935"/>
      <w:bookmarkStart w:id="49" w:name="_Toc16784"/>
      <w:bookmarkStart w:id="50" w:name="_Toc22634"/>
      <w:bookmarkStart w:id="51" w:name="_Toc16650"/>
      <w:bookmarkStart w:id="52" w:name="_Toc23169"/>
      <w:r>
        <w:rPr>
          <w:rFonts w:eastAsia="楷体_GB2312" w:cs="Times New Roman"/>
          <w:b/>
        </w:rPr>
        <w:t xml:space="preserve">    </w:t>
      </w:r>
      <w:bookmarkStart w:id="53" w:name="_Toc84689994"/>
      <w:bookmarkStart w:id="54" w:name="_Toc83561884"/>
      <w:r>
        <w:rPr>
          <w:rFonts w:eastAsia="楷体_GB2312" w:cs="Times New Roman"/>
          <w:b/>
        </w:rPr>
        <w:t>（二）应对基础</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pPr>
        <w:spacing w:line="592" w:lineRule="exact"/>
        <w:ind w:firstLine="640" w:firstLineChars="200"/>
        <w:rPr>
          <w:rFonts w:cs="Times New Roman"/>
          <w:szCs w:val="32"/>
        </w:rPr>
      </w:pPr>
      <w:r>
        <w:rPr>
          <w:rFonts w:cs="Times New Roman"/>
          <w:szCs w:val="32"/>
        </w:rPr>
        <w:t>“十三五”时期是确保与全省同步高水平全面建成小康社会的决胜期。面对大变局大变革大事件深刻影响，市委团结带领全市人民，认真贯彻落实党中央和省委重大决策部署，高举发展的行动旗帜，全面厉行“丽水之干”，以勇当探路者和模范生的奋进姿态，奋力开辟高质量绿色发展新路，开创了“绿水青山就是金山银山”新境界，为应对人口老龄化奠定了坚实的基础。</w:t>
      </w:r>
    </w:p>
    <w:p>
      <w:pPr>
        <w:pStyle w:val="9"/>
        <w:spacing w:after="0" w:line="592" w:lineRule="exact"/>
        <w:ind w:firstLine="642" w:firstLineChars="200"/>
        <w:rPr>
          <w:rFonts w:ascii="Times New Roman" w:hAnsi="Times New Roman" w:eastAsia="仿宋_GB2312"/>
          <w:sz w:val="32"/>
          <w:szCs w:val="32"/>
        </w:rPr>
      </w:pPr>
      <w:r>
        <w:rPr>
          <w:rFonts w:ascii="Times New Roman" w:hAnsi="Times New Roman" w:eastAsia="楷体_GB2312"/>
          <w:b/>
          <w:bCs/>
          <w:sz w:val="32"/>
          <w:szCs w:val="24"/>
        </w:rPr>
        <w:t>市委市政府高度重视老龄事业。</w:t>
      </w:r>
      <w:r>
        <w:rPr>
          <w:rFonts w:ascii="Times New Roman" w:hAnsi="Times New Roman" w:eastAsia="仿宋_GB2312"/>
          <w:sz w:val="32"/>
          <w:szCs w:val="32"/>
        </w:rPr>
        <w:t>全市各县（市、区）均建有老龄委，政府分管领导担任老龄委主任，老龄工作机构健全。成立了市社会养老服务体系建设领导小组，搭建形成市、县、乡三级养老服务组织管理机构，每年连续组织召开全市养老服务工作推进会，将养老服务业发展作为民生领域的“一号工程”。组建成立了由省、市、县三级养老领域专家组，指导养老政策研究、标准制定和重难点问题解决。围绕综合引领、社会参与、设施建设、人才培养、医养结合及规划标准等多个层面，系统性谋划养老扶持政策文件30余项。与省民政厅连续签订了两轮厅市养老专项合作协议，2015年以来全市养老服务业发展累计投入资金11亿元。</w:t>
      </w:r>
    </w:p>
    <w:p>
      <w:pPr>
        <w:spacing w:line="592" w:lineRule="exact"/>
        <w:ind w:firstLine="641"/>
        <w:rPr>
          <w:rFonts w:cs="Times New Roman"/>
          <w:szCs w:val="32"/>
        </w:rPr>
      </w:pPr>
      <w:r>
        <w:rPr>
          <w:rFonts w:eastAsia="楷体_GB2312" w:cs="Times New Roman"/>
          <w:b/>
          <w:bCs/>
        </w:rPr>
        <w:t>长三角健康养生福地加快打造。</w:t>
      </w:r>
      <w:r>
        <w:rPr>
          <w:rFonts w:cs="Times New Roman"/>
          <w:szCs w:val="32"/>
        </w:rPr>
        <w:t>牵头建立长寿之乡绿色发展区域合作联盟，成为联盟执行理事长单位和秘书处所在地，扩大了长寿之乡品牌影响力。生物医药、益智木玩、休闲康养等康养产业加快发展，森林康养工作领先全省。通过深挖海拔600米及以上区域自然人文生态资源的康养功能和价值，“康养600”小镇加快打造。缙云荣获中国长寿之乡健康养生服务城市（县）称号，云和荣获中国长寿之乡健康养生服务城市（县）、中国长寿之乡敬老养老服务示范城市（县）称号，龙泉、遂昌、庆元荣获中国长寿之乡旅游文化服务示范城市称号，青田高市乡等4个乡镇荣获中国长寿之乡乡情体验基地称号，缙云县懿圃西红花养生园、松阳县箬寮原始林景区荣获中国长寿之乡康养示范基地称号，19个产品荣获中国长寿之乡养生名优产品称号。 “丽水山耕”生态农产品平均溢价超过30%，“丽水山居”实现营业总收入37.6亿元，“丽水山景”品牌影响力日渐扩大。</w:t>
      </w:r>
    </w:p>
    <w:p>
      <w:pPr>
        <w:pStyle w:val="18"/>
        <w:numPr>
          <w:ilvl w:val="255"/>
          <w:numId w:val="0"/>
        </w:numPr>
        <w:spacing w:beforeAutospacing="0" w:afterAutospacing="0" w:line="592" w:lineRule="exact"/>
        <w:ind w:firstLine="642" w:firstLineChars="200"/>
        <w:jc w:val="both"/>
        <w:rPr>
          <w:kern w:val="2"/>
          <w:sz w:val="32"/>
          <w:szCs w:val="32"/>
        </w:rPr>
      </w:pPr>
      <w:r>
        <w:rPr>
          <w:rFonts w:eastAsia="楷体_GB2312"/>
          <w:b/>
          <w:bCs/>
          <w:kern w:val="2"/>
          <w:sz w:val="32"/>
        </w:rPr>
        <w:t>老年宜居环境建设走在全国前列。</w:t>
      </w:r>
      <w:r>
        <w:rPr>
          <w:sz w:val="32"/>
          <w:szCs w:val="32"/>
        </w:rPr>
        <w:t>2017年丽水创成全省首个省</w:t>
      </w:r>
      <w:r>
        <w:rPr>
          <w:kern w:val="2"/>
          <w:sz w:val="32"/>
          <w:szCs w:val="32"/>
        </w:rPr>
        <w:t>“老年友好城市”。无障碍环境建设全省示范引领，2020年莲都区被国家住建部等五部委命名为全国无障碍环境示范区，龙泉市住龙镇被命名为全国无障碍环境达标镇。在省内率先同步推进无障碍进家庭、进社区、进农村、进景区“四进”工作。创成省级无障碍示范标准社区9个，建成无障碍村10个，无障碍景区5个。市、区人民政府门户网、政务服务网、网上办事大厅等部门网站100％达到无障碍网站设计标准。制定发布市级地方标准《居家无障碍设施改造技术规范》《乡村景区无障碍环境建设指南》，填补了国内空白。《居家无障碍设施改造技术规范》被省残联推荐为省级地方标准。</w:t>
      </w:r>
    </w:p>
    <w:p>
      <w:pPr>
        <w:pStyle w:val="18"/>
        <w:numPr>
          <w:ilvl w:val="255"/>
          <w:numId w:val="0"/>
        </w:numPr>
        <w:spacing w:beforeAutospacing="0" w:afterAutospacing="0" w:line="592" w:lineRule="exact"/>
        <w:ind w:firstLine="642" w:firstLineChars="200"/>
        <w:jc w:val="both"/>
        <w:rPr>
          <w:sz w:val="32"/>
          <w:szCs w:val="32"/>
        </w:rPr>
      </w:pPr>
      <w:r>
        <w:rPr>
          <w:rFonts w:eastAsia="楷体_GB2312"/>
          <w:b/>
          <w:bCs/>
          <w:kern w:val="2"/>
          <w:sz w:val="32"/>
        </w:rPr>
        <w:t>全域覆盖的老年服务体系初步建成。</w:t>
      </w:r>
      <w:r>
        <w:rPr>
          <w:sz w:val="32"/>
          <w:szCs w:val="32"/>
        </w:rPr>
        <w:t>老年社会保障体系不断完善，基本养老保险参保覆盖率达到99.12%。多元化养老服务体系基本建成，建成村（社区）居家养老服务照料中心1842个、乡镇（街道）居家养老服务中心127个，机构养老床位1.93万张，探索形成老年爱心驿站、“兼职保姆+好邻居帮帮团+照料中心”、家庭式小型养老院等山区居家养老服务模式，成功入选全国第四批居家和社区养老服务改革试点。老年医疗健康服务能力稳步提高，65岁以上老年人健康管理率达71.42%，医养结合机构占比达40%，实施建设了莲都、龙泉、青田、缙云、遂昌5个国家级老年人心理关爱项目试点。在全省首先建立养老服务领域职称评定制度，并纳入全市专业技术人员职称评定管理，职业化为老服务人员持证上岗比例100%。</w:t>
      </w:r>
    </w:p>
    <w:p>
      <w:pPr>
        <w:pStyle w:val="18"/>
        <w:numPr>
          <w:ilvl w:val="255"/>
          <w:numId w:val="0"/>
        </w:numPr>
        <w:spacing w:beforeAutospacing="0" w:afterAutospacing="0" w:line="592" w:lineRule="exact"/>
        <w:ind w:firstLine="642" w:firstLineChars="200"/>
        <w:jc w:val="both"/>
        <w:rPr>
          <w:sz w:val="32"/>
          <w:szCs w:val="32"/>
        </w:rPr>
      </w:pPr>
      <w:r>
        <w:rPr>
          <w:rFonts w:eastAsia="楷体_GB2312"/>
          <w:b/>
          <w:bCs/>
          <w:kern w:val="2"/>
          <w:sz w:val="32"/>
        </w:rPr>
        <w:t>尊老敬老的社会氛围日益浓厚。</w:t>
      </w:r>
      <w:r>
        <w:rPr>
          <w:sz w:val="32"/>
          <w:szCs w:val="32"/>
        </w:rPr>
        <w:t>老年教育走在全省前列，2019 年被评为第六批全国老年远程教育实验区，建有老年学校的乡镇（街道）比例达到69%。推进基层老年人协会规范化建设，符合规范化标准的老年人协会达2420家。加强市老年活动中心建设，建成四星级4个，三星级64个。深入开展“敬老文明号”创建活动，共有全国敬老文明号单位11个，浙江省“敬老文明号”单位66个，市级敬老文明号56个。积极开展人口老龄化国情省情市情教育，大力开展孝文化进校园、进家庭、进社区活动。</w:t>
      </w:r>
    </w:p>
    <w:p>
      <w:pPr>
        <w:pStyle w:val="4"/>
        <w:ind w:firstLine="642" w:firstLineChars="200"/>
        <w:rPr>
          <w:rFonts w:eastAsia="楷体_GB2312" w:cs="Times New Roman"/>
          <w:b/>
        </w:rPr>
      </w:pPr>
      <w:bookmarkStart w:id="55" w:name="_Toc84689995"/>
      <w:bookmarkStart w:id="56" w:name="_Toc17863"/>
      <w:bookmarkStart w:id="57" w:name="_Toc7560"/>
      <w:bookmarkStart w:id="58" w:name="_Toc32302"/>
      <w:bookmarkStart w:id="59" w:name="_Toc31028"/>
      <w:bookmarkStart w:id="60" w:name="_Toc8377"/>
      <w:bookmarkStart w:id="61" w:name="_Toc5684"/>
      <w:bookmarkStart w:id="62" w:name="_Toc83561885"/>
      <w:bookmarkStart w:id="63" w:name="_Toc2376"/>
      <w:bookmarkStart w:id="64" w:name="_Toc14250"/>
      <w:bookmarkStart w:id="65" w:name="_Toc17367"/>
      <w:bookmarkStart w:id="66" w:name="_Toc8422"/>
      <w:bookmarkStart w:id="67" w:name="_Toc20467"/>
      <w:bookmarkStart w:id="68" w:name="_Toc32153"/>
      <w:bookmarkStart w:id="69" w:name="_Toc24629"/>
      <w:bookmarkStart w:id="70" w:name="_Toc11811"/>
      <w:bookmarkStart w:id="71" w:name="_Toc28940"/>
      <w:bookmarkStart w:id="72" w:name="_Toc26909"/>
      <w:bookmarkStart w:id="73" w:name="_Toc22625"/>
      <w:r>
        <w:rPr>
          <w:rFonts w:eastAsia="楷体_GB2312" w:cs="Times New Roman"/>
          <w:b/>
        </w:rPr>
        <w:t>（三）发展形势</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pPr>
        <w:spacing w:line="590" w:lineRule="exact"/>
        <w:ind w:firstLine="642" w:firstLineChars="200"/>
        <w:rPr>
          <w:rFonts w:cs="Times New Roman"/>
          <w:szCs w:val="32"/>
        </w:rPr>
      </w:pPr>
      <w:r>
        <w:rPr>
          <w:rFonts w:eastAsia="楷体_GB2312" w:cs="Times New Roman"/>
          <w:b/>
          <w:bCs/>
        </w:rPr>
        <w:t>国家和区域发展战略为应对人口老龄化创造了有利条件。</w:t>
      </w:r>
      <w:r>
        <w:rPr>
          <w:rFonts w:cs="Times New Roman"/>
        </w:rPr>
        <w:t>以习近平同志为核心的党中央对老龄工作高度重视，中共中央、国务院印发《国家积极应对人口老龄化中长期规划》,十九届五中全会将积极应对人口老龄化上升为国家战略，为应对人口老龄化提供了根本遵循和行动指南。实施长三角区域一体化发展战略，不断推动人口老龄化资源跨区域配置，为养老服务和银发经济发展提供了新的空间。</w:t>
      </w:r>
    </w:p>
    <w:p>
      <w:pPr>
        <w:spacing w:line="592" w:lineRule="exact"/>
        <w:ind w:firstLine="642" w:firstLineChars="200"/>
        <w:rPr>
          <w:rFonts w:cs="Times New Roman"/>
        </w:rPr>
      </w:pPr>
      <w:r>
        <w:rPr>
          <w:rFonts w:eastAsia="楷体_GB2312" w:cs="Times New Roman"/>
          <w:b/>
          <w:bCs/>
        </w:rPr>
        <w:t>高质量发展建设共同富裕示范区为应对人口老龄化提供了重大机遇。</w:t>
      </w:r>
      <w:r>
        <w:rPr>
          <w:rFonts w:cs="Times New Roman"/>
        </w:rPr>
        <w:t>党中央着眼于中华民族伟大复兴的战略全局，赋予浙江率先探索建设共同富裕美好社会的光荣使命。持续增进就业、教育、医疗、养老等民生福祉是扎实推动共同富裕的重要环节。新时代国家支持革命老区振兴发展的政策、创建全国生态产品价值实现机制改革示范区的使命、全省建设共同富裕示范区超常规的空前支持，为丽水全面建设共同富裕美好社会、应对人口老龄化带来前所未有的战略机遇。</w:t>
      </w:r>
    </w:p>
    <w:p>
      <w:pPr>
        <w:spacing w:line="592" w:lineRule="exact"/>
        <w:ind w:firstLine="642" w:firstLineChars="200"/>
        <w:rPr>
          <w:rFonts w:cs="Times New Roman"/>
        </w:rPr>
      </w:pPr>
      <w:r>
        <w:rPr>
          <w:rFonts w:eastAsia="楷体_GB2312" w:cs="Times New Roman"/>
          <w:b/>
          <w:bCs/>
        </w:rPr>
        <w:t>科技革命和产业变革为应对人口老龄化提供了新的支撑。</w:t>
      </w:r>
      <w:r>
        <w:rPr>
          <w:rFonts w:cs="Times New Roman"/>
        </w:rPr>
        <w:t>以大数据、云计算、物联网、区块链、人工智能等为代表的数字技术快速发展，推动着传统生产、生活、社交方式的变革，也深刻改变着人口老龄化应对的路径和模式。人工智能、传感器、脑科学等科技与“健康老龄化”“积极老龄化”理念结合，形成老龄科技创新和老龄科技产业，极大地丰富和改善了老龄产品的供给结构和发展质量。现代医学特别是老年医学科技的快速发展，促进老年人活得更长、活得更好。要主动顺应科技发展趋势，推动养老服务体系重塑和老龄产业发展变革。</w:t>
      </w:r>
    </w:p>
    <w:p>
      <w:pPr>
        <w:pStyle w:val="18"/>
        <w:widowControl/>
        <w:shd w:val="clear" w:color="auto" w:fill="FFFFFF"/>
        <w:spacing w:beforeAutospacing="0" w:afterAutospacing="0" w:line="592" w:lineRule="exact"/>
        <w:ind w:firstLine="642" w:firstLineChars="200"/>
        <w:jc w:val="both"/>
        <w:rPr>
          <w:sz w:val="32"/>
          <w:szCs w:val="32"/>
        </w:rPr>
      </w:pPr>
      <w:r>
        <w:rPr>
          <w:rFonts w:eastAsia="楷体_GB2312"/>
          <w:b/>
          <w:bCs/>
          <w:kern w:val="2"/>
          <w:sz w:val="32"/>
        </w:rPr>
        <w:t>老年人口总量和结构深刻变化重塑人口老龄化发展格局。</w:t>
      </w:r>
      <w:r>
        <w:rPr>
          <w:sz w:val="32"/>
          <w:szCs w:val="32"/>
        </w:rPr>
        <w:t>丽水较早进入老龄化社会，老龄化程度高于全国全省，应对人口老龄化已经成为一项长期性战略任务。从“十四五”时期开始，全市老年人口总量和结构都将发生复杂而深刻的变化。根据全市人口年龄结构及其历史演变规律测算，预计到2025年，60岁及以上户籍老年人口将突破70万，占总人口比重28%；到2035年将超过120万，占比超过40%。高龄化趋势逐步显现，2030年后80岁以上高龄老人规模快速增长。随着“独一代”的“60后”进入老年队列，叠加“50后”老年人，独生子女老年父母数量快速增加，空巢化、独居化、小型化、少子化态势深入发展。此外，“一带三区”空间战略的推进，人口将持续向“一带”集聚，城镇化地区老年人口将快速增长。</w:t>
      </w:r>
    </w:p>
    <w:p>
      <w:pPr>
        <w:pStyle w:val="18"/>
        <w:widowControl/>
        <w:shd w:val="clear" w:color="auto" w:fill="FFFFFF"/>
        <w:spacing w:beforeAutospacing="0" w:afterAutospacing="0"/>
        <w:jc w:val="center"/>
      </w:pPr>
      <w:r>
        <w:drawing>
          <wp:inline distT="0" distB="0" distL="114300" distR="114300">
            <wp:extent cx="5242560" cy="3225800"/>
            <wp:effectExtent l="19050" t="0" r="0" b="0"/>
            <wp:docPr id="8"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true"/>
                    </pic:cNvPicPr>
                  </pic:nvPicPr>
                  <pic:blipFill>
                    <a:blip r:embed="rId7" cstate="print"/>
                    <a:stretch>
                      <a:fillRect/>
                    </a:stretch>
                  </pic:blipFill>
                  <pic:spPr>
                    <a:xfrm>
                      <a:off x="0" y="0"/>
                      <a:ext cx="5246489" cy="3228387"/>
                    </a:xfrm>
                    <a:prstGeom prst="rect">
                      <a:avLst/>
                    </a:prstGeom>
                    <a:noFill/>
                    <a:ln>
                      <a:noFill/>
                    </a:ln>
                  </pic:spPr>
                </pic:pic>
              </a:graphicData>
            </a:graphic>
          </wp:inline>
        </w:drawing>
      </w:r>
    </w:p>
    <w:p>
      <w:pPr>
        <w:jc w:val="center"/>
        <w:rPr>
          <w:rFonts w:eastAsia="黑体" w:cs="Times New Roman"/>
          <w:bCs/>
          <w:sz w:val="28"/>
          <w:szCs w:val="28"/>
        </w:rPr>
      </w:pPr>
      <w:r>
        <w:rPr>
          <w:rFonts w:eastAsia="黑体" w:cs="Times New Roman"/>
          <w:bCs/>
          <w:sz w:val="28"/>
          <w:szCs w:val="28"/>
        </w:rPr>
        <w:t>图3  2020-2035年60岁以上户籍老年人口发展趋势（万人）</w:t>
      </w:r>
    </w:p>
    <w:p>
      <w:pPr>
        <w:spacing w:line="592" w:lineRule="exact"/>
        <w:rPr>
          <w:rFonts w:cs="Times New Roman"/>
        </w:rPr>
      </w:pPr>
      <w:r>
        <w:rPr>
          <w:rFonts w:cs="Times New Roman"/>
        </w:rPr>
        <w:t>  </w:t>
      </w:r>
      <w:r>
        <w:rPr>
          <w:rFonts w:eastAsia="楷体_GB2312" w:cs="Times New Roman"/>
          <w:b/>
        </w:rPr>
        <w:t>新发展阶段主要矛盾已经转化为人民日益增长的美好生活需要和不平衡不充分的发展之间的矛盾。对照建设“高水平建设和高质量发展重要窗口”和共同富裕美好社会山区样板的总目标，我市应对人口老龄化还存在一些问题和短板：一是</w:t>
      </w:r>
      <w:r>
        <w:rPr>
          <w:rFonts w:cs="Times New Roman"/>
        </w:rPr>
        <w:t>流动人口规模大，保障常住老年人口享有均等性基本公共服务的压力增大。</w:t>
      </w:r>
      <w:r>
        <w:rPr>
          <w:rFonts w:eastAsia="楷体_GB2312" w:cs="Times New Roman"/>
          <w:b/>
        </w:rPr>
        <w:t>二是</w:t>
      </w:r>
      <w:r>
        <w:rPr>
          <w:rFonts w:cs="Times New Roman"/>
        </w:rPr>
        <w:t>养老服务供给的质量、布局和效率与需求日益多元化的矛盾凸显，老年健康服务体系建设刚起步，老年人精神文化生活有待进一步丰富，老龄产业基础较为薄弱，高龄、失能、纯老家庭老年人的养老服务问题仍是痛点。</w:t>
      </w:r>
      <w:r>
        <w:rPr>
          <w:rFonts w:eastAsia="楷体_GB2312" w:cs="Times New Roman"/>
          <w:b/>
        </w:rPr>
        <w:t>三是</w:t>
      </w:r>
      <w:r>
        <w:rPr>
          <w:rFonts w:cs="Times New Roman"/>
        </w:rPr>
        <w:t>全社会对人口老龄化问题严峻性认识不足，老龄事业社会参与度不高。</w:t>
      </w:r>
      <w:r>
        <w:rPr>
          <w:rFonts w:eastAsia="楷体_GB2312" w:cs="Times New Roman"/>
          <w:b/>
        </w:rPr>
        <w:t>四是</w:t>
      </w:r>
      <w:r>
        <w:rPr>
          <w:rFonts w:cs="Times New Roman"/>
        </w:rPr>
        <w:t>老龄社会治理机制尚未有效建立，基层老龄工作力量薄弱，部门协同机制尚未完全形成，养老队伍建设与养老服务需求存在较大差距。</w:t>
      </w:r>
      <w:r>
        <w:rPr>
          <w:rFonts w:eastAsia="楷体_GB2312" w:cs="Times New Roman"/>
          <w:b/>
        </w:rPr>
        <w:t>五是</w:t>
      </w:r>
      <w:r>
        <w:rPr>
          <w:rFonts w:cs="Times New Roman"/>
        </w:rPr>
        <w:t>老龄化增加政府财政在基本养老金、退休金、保险费补贴和医疗方面的支出，影响社会活力和创新驱动力。</w:t>
      </w:r>
    </w:p>
    <w:p>
      <w:pPr>
        <w:pStyle w:val="3"/>
        <w:spacing w:before="0" w:after="0" w:line="580" w:lineRule="exact"/>
        <w:ind w:firstLine="640" w:firstLineChars="200"/>
        <w:jc w:val="both"/>
        <w:rPr>
          <w:rFonts w:eastAsia="黑体" w:cs="Times New Roman"/>
          <w:sz w:val="32"/>
          <w:szCs w:val="32"/>
        </w:rPr>
      </w:pPr>
      <w:bookmarkStart w:id="74" w:name="_Toc30907"/>
      <w:bookmarkStart w:id="75" w:name="_Toc5786"/>
      <w:bookmarkStart w:id="76" w:name="_Toc29888"/>
      <w:bookmarkStart w:id="77" w:name="_Toc31626"/>
      <w:bookmarkStart w:id="78" w:name="_Toc8778"/>
      <w:bookmarkStart w:id="79" w:name="_Toc84689996"/>
      <w:bookmarkStart w:id="80" w:name="_Toc5753"/>
      <w:bookmarkStart w:id="81" w:name="_Toc15244"/>
      <w:bookmarkStart w:id="82" w:name="_Toc27892"/>
      <w:bookmarkStart w:id="83" w:name="_Toc5894"/>
      <w:bookmarkStart w:id="84" w:name="_Toc2179"/>
      <w:bookmarkStart w:id="85" w:name="_Toc5917"/>
      <w:bookmarkStart w:id="86" w:name="_Toc1525"/>
      <w:bookmarkStart w:id="87" w:name="_Toc83561886"/>
      <w:bookmarkStart w:id="88" w:name="_Toc17747"/>
      <w:bookmarkStart w:id="89" w:name="_Toc2738"/>
      <w:bookmarkStart w:id="90" w:name="_Toc18325"/>
      <w:bookmarkStart w:id="91" w:name="_Toc25080"/>
      <w:bookmarkStart w:id="92" w:name="_Toc10362"/>
      <w:r>
        <w:rPr>
          <w:rFonts w:eastAsia="黑体" w:cs="Times New Roman"/>
          <w:sz w:val="32"/>
          <w:szCs w:val="32"/>
        </w:rPr>
        <w:t>二、总体要求</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pStyle w:val="4"/>
        <w:ind w:firstLine="642" w:firstLineChars="200"/>
        <w:rPr>
          <w:rFonts w:eastAsia="楷体_GB2312" w:cs="Times New Roman"/>
          <w:b/>
        </w:rPr>
      </w:pPr>
      <w:bookmarkStart w:id="93" w:name="_Toc2375"/>
      <w:bookmarkStart w:id="94" w:name="_Toc83561887"/>
      <w:bookmarkStart w:id="95" w:name="_Toc9219"/>
      <w:bookmarkStart w:id="96" w:name="_Toc25442"/>
      <w:bookmarkStart w:id="97" w:name="_Toc20008"/>
      <w:bookmarkStart w:id="98" w:name="_Toc18384"/>
      <w:bookmarkStart w:id="99" w:name="_Toc8097"/>
      <w:bookmarkStart w:id="100" w:name="_Toc10654"/>
      <w:bookmarkStart w:id="101" w:name="_Toc25453"/>
      <w:bookmarkStart w:id="102" w:name="_Toc4570"/>
      <w:bookmarkStart w:id="103" w:name="_Toc28747"/>
      <w:bookmarkStart w:id="104" w:name="_Toc32341"/>
      <w:bookmarkStart w:id="105" w:name="_Toc84689997"/>
      <w:bookmarkStart w:id="106" w:name="_Toc12375"/>
      <w:bookmarkStart w:id="107" w:name="_Toc17336"/>
      <w:bookmarkStart w:id="108" w:name="_Toc4072"/>
      <w:bookmarkStart w:id="109" w:name="_Toc1610"/>
      <w:bookmarkStart w:id="110" w:name="_Toc10933"/>
      <w:bookmarkStart w:id="111" w:name="_Toc15257"/>
      <w:r>
        <w:rPr>
          <w:rFonts w:eastAsia="楷体_GB2312" w:cs="Times New Roman"/>
          <w:b/>
        </w:rPr>
        <w:t>（一）指导思想</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pPr>
        <w:pStyle w:val="18"/>
        <w:widowControl/>
        <w:shd w:val="clear" w:color="auto" w:fill="FFFFFF"/>
        <w:spacing w:beforeAutospacing="0" w:afterAutospacing="0" w:line="592" w:lineRule="exact"/>
        <w:ind w:firstLine="640" w:firstLineChars="200"/>
        <w:jc w:val="both"/>
        <w:rPr>
          <w:rFonts w:eastAsia="楷体_GB2312"/>
          <w:b/>
          <w:kern w:val="2"/>
          <w:sz w:val="32"/>
        </w:rPr>
      </w:pPr>
      <w:r>
        <w:rPr>
          <w:kern w:val="2"/>
          <w:sz w:val="32"/>
        </w:rPr>
        <w:t>以习近平新时代中国特色社会主义思想为指导，深入贯彻党的十九大和十九届二中、三中、四中、五中</w:t>
      </w:r>
      <w:r>
        <w:rPr>
          <w:rFonts w:hint="eastAsia"/>
          <w:kern w:val="2"/>
          <w:sz w:val="32"/>
          <w:lang w:eastAsia="zh-CN"/>
        </w:rPr>
        <w:t>、六中</w:t>
      </w:r>
      <w:r>
        <w:rPr>
          <w:kern w:val="2"/>
          <w:sz w:val="32"/>
        </w:rPr>
        <w:t>全会和省委十四届九次全会精神，立足新发展阶段、贯彻新发展理念、构建新发展格局，高扬“丽水之干”行动奋斗旗帜，深入实施积极应对人口老龄化国家战略，坚持以人民为中心的发展理念，促进应对人口老龄化与共同富裕理念相融合、与山区跨越式高质量发展相契合、与经济社会发展水平相适应，树立积极老龄观、健康老龄观理念，以实现“幸福老龄化”愿景为目标，以提升便利性、获得感、幸福感和安全感为标准，以改革创新为根本动力，</w:t>
      </w:r>
      <w:r>
        <w:rPr>
          <w:rFonts w:eastAsia="楷体_GB2312"/>
          <w:b/>
          <w:kern w:val="2"/>
          <w:sz w:val="32"/>
        </w:rPr>
        <w:t>从全生产要素、全产业链条、全生命周期积极应对人口老龄化，着力完善六大体系，奋力推进九大工程，努力在更高水平实现老有康养、老有良医、老有好学、老有作为、老有常乐，争创全国幸福宜居之城、中国最美长寿之乡、长三角养生养老胜地、长三角康养产业高地，为全市建成“高水平建设和高质量发展重要窗口”和共同富裕美好社会山区样板作出更大贡献。</w:t>
      </w:r>
    </w:p>
    <w:p>
      <w:pPr>
        <w:pStyle w:val="4"/>
        <w:ind w:firstLine="642" w:firstLineChars="200"/>
        <w:rPr>
          <w:rFonts w:eastAsia="楷体_GB2312" w:cs="Times New Roman"/>
          <w:b/>
        </w:rPr>
      </w:pPr>
      <w:bookmarkStart w:id="112" w:name="_Toc7683"/>
      <w:bookmarkStart w:id="113" w:name="_Toc84689998"/>
      <w:bookmarkStart w:id="114" w:name="_Toc32282"/>
      <w:bookmarkStart w:id="115" w:name="_Toc19101"/>
      <w:bookmarkStart w:id="116" w:name="_Toc83561888"/>
      <w:bookmarkStart w:id="117" w:name="_Toc30378"/>
      <w:bookmarkStart w:id="118" w:name="_Toc4567"/>
      <w:bookmarkStart w:id="119" w:name="_Toc2314"/>
      <w:bookmarkStart w:id="120" w:name="_Toc10101"/>
      <w:bookmarkStart w:id="121" w:name="_Toc26987"/>
      <w:bookmarkStart w:id="122" w:name="_Toc26022"/>
      <w:bookmarkStart w:id="123" w:name="_Toc6584"/>
      <w:bookmarkStart w:id="124" w:name="_Toc12453"/>
      <w:bookmarkStart w:id="125" w:name="_Toc4496"/>
      <w:bookmarkStart w:id="126" w:name="_Toc31229"/>
      <w:bookmarkStart w:id="127" w:name="_Toc16954"/>
      <w:bookmarkStart w:id="128" w:name="_Toc31511"/>
      <w:bookmarkStart w:id="129" w:name="_Toc18967"/>
      <w:bookmarkStart w:id="130" w:name="_Toc18829"/>
      <w:r>
        <w:rPr>
          <w:rFonts w:eastAsia="楷体_GB2312" w:cs="Times New Roman"/>
          <w:b/>
        </w:rPr>
        <w:t>（二）基本原则</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pPr>
        <w:spacing w:line="592" w:lineRule="exact"/>
        <w:ind w:firstLine="658"/>
        <w:rPr>
          <w:rFonts w:cs="Times New Roman"/>
        </w:rPr>
      </w:pPr>
      <w:r>
        <w:rPr>
          <w:rFonts w:eastAsia="楷体_GB2312" w:cs="Times New Roman"/>
          <w:b/>
          <w:bCs/>
        </w:rPr>
        <w:t>坚持党的全面领导。</w:t>
      </w:r>
      <w:r>
        <w:rPr>
          <w:rFonts w:hint="eastAsia" w:cs="Times New Roman"/>
        </w:rPr>
        <w:t>坚持党对积极应对人口老龄化工作的领导，</w:t>
      </w:r>
      <w:r>
        <w:rPr>
          <w:rFonts w:cs="Times New Roman"/>
        </w:rPr>
        <w:t>切实把党的政治领导力、思想引领力、群众组织力、社会号召力转化为全社会应对人口老龄化的强大动力</w:t>
      </w:r>
      <w:r>
        <w:rPr>
          <w:rFonts w:hint="eastAsia" w:cs="Times New Roman"/>
        </w:rPr>
        <w:t>。强化政府主体责任，尽力而为、量力而行，不断满足全方位、多层次、人本化的养老需求，</w:t>
      </w:r>
      <w:r>
        <w:rPr>
          <w:rFonts w:cs="Times New Roman"/>
        </w:rPr>
        <w:t>做到及时应对、科学应对、综合应对。</w:t>
      </w:r>
    </w:p>
    <w:p>
      <w:pPr>
        <w:spacing w:line="592" w:lineRule="exact"/>
        <w:ind w:firstLine="658"/>
        <w:rPr>
          <w:rFonts w:cs="Times New Roman"/>
        </w:rPr>
      </w:pPr>
      <w:r>
        <w:rPr>
          <w:rFonts w:eastAsia="楷体_GB2312" w:cs="Times New Roman"/>
          <w:b/>
          <w:bCs/>
        </w:rPr>
        <w:t>坚持积极老龄化观念。</w:t>
      </w:r>
      <w:r>
        <w:rPr>
          <w:rFonts w:cs="Times New Roman"/>
          <w:bCs/>
        </w:rPr>
        <w:t>牢固树立积极应对思想观念，积极看待老龄社会、老年人和老年生活，</w:t>
      </w:r>
      <w:r>
        <w:rPr>
          <w:rFonts w:cs="Times New Roman"/>
        </w:rPr>
        <w:t>以积极的态度、积极的政策、积极的行动应对人口老龄化。加强前瞻性、全局性、战略性、整体性研究，统筹人口老龄化政策制度，最大程度防范化解人口老龄化风险，最大程度把握人口老龄化战略机遇。</w:t>
      </w:r>
    </w:p>
    <w:p>
      <w:pPr>
        <w:pStyle w:val="19"/>
        <w:spacing w:after="0" w:line="592" w:lineRule="exact"/>
        <w:ind w:left="0" w:leftChars="0" w:firstLine="642" w:firstLineChars="200"/>
      </w:pPr>
      <w:r>
        <w:rPr>
          <w:rFonts w:eastAsia="楷体_GB2312"/>
          <w:b/>
          <w:bCs/>
        </w:rPr>
        <w:t>坚持共建共治共享。</w:t>
      </w:r>
      <w:r>
        <w:t>凝聚社会共识、倡导全民行动，努力构建社会、家庭、个人共同参与、各尽其责的养老基本格局，在政府主导下，巩固家庭养老的基础地位，引导市场主体和社会力量广泛参与，构建老年友好型社会，实现各尽其责、各得其所。</w:t>
      </w:r>
    </w:p>
    <w:p>
      <w:pPr>
        <w:pStyle w:val="19"/>
        <w:spacing w:after="0" w:line="592" w:lineRule="exact"/>
        <w:ind w:left="0" w:leftChars="0" w:firstLine="642" w:firstLineChars="200"/>
      </w:pPr>
      <w:r>
        <w:rPr>
          <w:rFonts w:eastAsia="楷体_GB2312"/>
          <w:b/>
          <w:bCs/>
        </w:rPr>
        <w:t>坚持</w:t>
      </w:r>
      <w:r>
        <w:rPr>
          <w:rFonts w:hint="eastAsia" w:eastAsia="楷体_GB2312"/>
          <w:b/>
          <w:bCs/>
        </w:rPr>
        <w:t>数字化赋能</w:t>
      </w:r>
      <w:r>
        <w:rPr>
          <w:rFonts w:eastAsia="楷体_GB2312"/>
          <w:b/>
          <w:bCs/>
        </w:rPr>
        <w:t>。</w:t>
      </w:r>
      <w:r>
        <w:rPr>
          <w:rFonts w:hint="eastAsia"/>
        </w:rPr>
        <w:t>抢抓新一轮科技革命和产业变革趋势所带来的机遇，适应老龄服务需求随时随地发生的新形势新要求，统筹运用数字化手段、数字化思维、数字化认知，大力培育新业态新模式，大力发展个性化定制服务，扩大优质服务覆盖面，加快线上线下融合</w:t>
      </w:r>
      <w:r>
        <w:rPr>
          <w:rFonts w:hint="eastAsia"/>
          <w:szCs w:val="32"/>
        </w:rPr>
        <w:t>发展。</w:t>
      </w:r>
    </w:p>
    <w:p>
      <w:pPr>
        <w:pStyle w:val="18"/>
        <w:spacing w:beforeAutospacing="0" w:afterAutospacing="0" w:line="592" w:lineRule="exact"/>
        <w:ind w:firstLine="641"/>
        <w:jc w:val="both"/>
        <w:rPr>
          <w:kern w:val="2"/>
          <w:sz w:val="32"/>
          <w:szCs w:val="32"/>
        </w:rPr>
      </w:pPr>
      <w:r>
        <w:rPr>
          <w:rFonts w:eastAsia="楷体_GB2312"/>
          <w:b/>
          <w:bCs/>
          <w:kern w:val="2"/>
          <w:sz w:val="32"/>
        </w:rPr>
        <w:t>坚持深化改革创新。</w:t>
      </w:r>
      <w:r>
        <w:rPr>
          <w:kern w:val="2"/>
          <w:sz w:val="32"/>
          <w:szCs w:val="32"/>
        </w:rPr>
        <w:t>突出创新作为积极应对人口老龄化的第一动力和战略支撑，深化制度创新、管理创新、服务创新、技术创新，不断完善应对人口老龄化的体制机制。积极扩大区域合作，推动人口区域集聚与老龄化问题破解相适应，形成积极应对人口老龄化的强大合力。</w:t>
      </w:r>
    </w:p>
    <w:p>
      <w:pPr>
        <w:pStyle w:val="4"/>
        <w:ind w:firstLine="642" w:firstLineChars="200"/>
        <w:rPr>
          <w:rFonts w:eastAsia="楷体_GB2312" w:cs="Times New Roman"/>
          <w:b/>
        </w:rPr>
      </w:pPr>
      <w:bookmarkStart w:id="131" w:name="_Toc22838"/>
      <w:bookmarkStart w:id="132" w:name="_Toc28055"/>
      <w:bookmarkStart w:id="133" w:name="_Toc11563"/>
      <w:bookmarkStart w:id="134" w:name="_Toc3832"/>
      <w:bookmarkStart w:id="135" w:name="_Toc4597"/>
      <w:bookmarkStart w:id="136" w:name="_Toc1576"/>
      <w:bookmarkStart w:id="137" w:name="_Toc21878"/>
      <w:bookmarkStart w:id="138" w:name="_Toc9823"/>
      <w:bookmarkStart w:id="139" w:name="_Toc25157"/>
      <w:bookmarkStart w:id="140" w:name="_Toc23451"/>
      <w:bookmarkStart w:id="141" w:name="_Toc12590"/>
      <w:bookmarkStart w:id="142" w:name="_Toc25163"/>
      <w:bookmarkStart w:id="143" w:name="_Toc11801"/>
      <w:bookmarkStart w:id="144" w:name="_Toc30082"/>
      <w:bookmarkStart w:id="145" w:name="_Toc19297"/>
      <w:bookmarkStart w:id="146" w:name="_Toc26373"/>
      <w:bookmarkStart w:id="147" w:name="_Toc6731"/>
      <w:bookmarkStart w:id="148" w:name="_Toc83561889"/>
      <w:bookmarkStart w:id="149" w:name="_Toc84689999"/>
      <w:r>
        <w:rPr>
          <w:rFonts w:eastAsia="楷体_GB2312" w:cs="Times New Roman"/>
          <w:b/>
        </w:rPr>
        <w:t>（三）战略</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r>
        <w:rPr>
          <w:rFonts w:eastAsia="楷体_GB2312" w:cs="Times New Roman"/>
          <w:b/>
        </w:rPr>
        <w:t>定位</w:t>
      </w:r>
      <w:bookmarkEnd w:id="149"/>
    </w:p>
    <w:p>
      <w:pPr>
        <w:rPr>
          <w:rFonts w:cs="Times New Roman"/>
        </w:rPr>
      </w:pPr>
      <w:r>
        <w:rPr>
          <w:rFonts w:eastAsia="楷体_GB2312" w:cs="Times New Roman"/>
          <w:b/>
        </w:rPr>
        <w:t xml:space="preserve">    全国幸福宜居之城。</w:t>
      </w:r>
      <w:r>
        <w:rPr>
          <w:rFonts w:cs="Times New Roman"/>
        </w:rPr>
        <w:t>顺应新时代人口老龄化对城市建设的要求，构建高品质、智慧化的城市生活，提高城市适老化水平，从生活环境、居住环境、出行环境、公共政策等多方面构建全年龄段共享的安全、便捷、舒适宜居标准，提高居民生活品质，打造高标准、高品质的幸福宜居之城。</w:t>
      </w:r>
    </w:p>
    <w:p>
      <w:pPr>
        <w:rPr>
          <w:rFonts w:cs="Times New Roman"/>
        </w:rPr>
      </w:pPr>
      <w:r>
        <w:rPr>
          <w:rFonts w:eastAsia="楷体_GB2312" w:cs="Times New Roman"/>
          <w:b/>
        </w:rPr>
        <w:t xml:space="preserve">    中国最美长寿之乡。</w:t>
      </w:r>
      <w:r>
        <w:rPr>
          <w:rFonts w:cs="Times New Roman"/>
        </w:rPr>
        <w:t>加强长寿之乡慈孝文化建设，大力弘扬敬老孝亲、传承文明家风、建立慈孝敬老规范和社会交往准则，营造浓厚的敬老孝亲社会氛围，倡导和规范为老服务，践行敬老文化，引导智慧养老服务平台建设，提升社会文明水平，促进社会和谐。</w:t>
      </w:r>
    </w:p>
    <w:p>
      <w:pPr>
        <w:rPr>
          <w:rFonts w:cs="Times New Roman"/>
        </w:rPr>
      </w:pPr>
      <w:r>
        <w:rPr>
          <w:rFonts w:eastAsia="楷体_GB2312" w:cs="Times New Roman"/>
          <w:b/>
        </w:rPr>
        <w:t xml:space="preserve">    长三角养生养老胜地。</w:t>
      </w:r>
      <w:r>
        <w:rPr>
          <w:rFonts w:cs="Times New Roman"/>
        </w:rPr>
        <w:t>深入贯彻落实健康中国、健康浙江战略部署，高水平高质量推进健康丽水建设，弘扬长寿养生文化、倡导健康生活理念和生活方式，加强全生命周期的健康服务和健康管理，以全民健康促进丽水健康发展，使健康促进常态化。</w:t>
      </w:r>
    </w:p>
    <w:p>
      <w:pPr>
        <w:rPr>
          <w:rFonts w:cs="Times New Roman"/>
        </w:rPr>
      </w:pPr>
      <w:r>
        <w:rPr>
          <w:rFonts w:eastAsia="楷体_GB2312" w:cs="Times New Roman"/>
          <w:b/>
        </w:rPr>
        <w:t xml:space="preserve">    长三角康养产业高地。</w:t>
      </w:r>
      <w:r>
        <w:rPr>
          <w:rFonts w:cs="Times New Roman"/>
        </w:rPr>
        <w:t>依托长寿之乡品牌优势，积极培育康养产业，加快“银发经济”发展，结合实际构建健康产业相关标准，构建丽水山耕、森林康养、气候养生、旅居养生等健康产业链，建立健康养生产业集群，让健康养生产业成为丽水生态经济主力军。</w:t>
      </w:r>
    </w:p>
    <w:p>
      <w:pPr>
        <w:pStyle w:val="4"/>
        <w:ind w:firstLine="642" w:firstLineChars="200"/>
        <w:rPr>
          <w:rFonts w:eastAsia="楷体_GB2312" w:cs="Times New Roman"/>
          <w:b/>
        </w:rPr>
      </w:pPr>
      <w:bookmarkStart w:id="150" w:name="_Toc84690000"/>
      <w:r>
        <w:rPr>
          <w:rFonts w:eastAsia="楷体_GB2312" w:cs="Times New Roman"/>
          <w:b/>
        </w:rPr>
        <w:t>（四）发展目标</w:t>
      </w:r>
      <w:bookmarkEnd w:id="150"/>
    </w:p>
    <w:p>
      <w:pPr>
        <w:pStyle w:val="19"/>
        <w:spacing w:after="0" w:line="592" w:lineRule="exact"/>
        <w:ind w:left="0" w:leftChars="0" w:firstLine="642" w:firstLineChars="200"/>
        <w:rPr>
          <w:rFonts w:eastAsia="楷体_GB2312"/>
          <w:b/>
        </w:rPr>
      </w:pPr>
      <w:r>
        <w:rPr>
          <w:rFonts w:eastAsia="楷体_GB2312"/>
          <w:b/>
        </w:rPr>
        <w:t>1.中期目标</w:t>
      </w:r>
    </w:p>
    <w:p>
      <w:pPr>
        <w:pStyle w:val="19"/>
        <w:spacing w:after="0" w:line="592" w:lineRule="exact"/>
        <w:ind w:left="0" w:leftChars="0" w:firstLine="642" w:firstLineChars="200"/>
      </w:pPr>
      <w:r>
        <w:rPr>
          <w:rFonts w:eastAsia="楷体_GB2312"/>
          <w:b/>
        </w:rPr>
        <w:t>到2025年，</w:t>
      </w:r>
      <w:r>
        <w:t>基本建立与丽水人口老龄化进程相适应的应对体系，政府、社会、家庭、个人共同参与、各尽其责的发展格局基本形成。人才和科技支撑更加坚实有力，产品及服务供给能力明显提升，老年“数字鸿沟”逐步缩小，老年友好城市建设迈上新台阶，人民群众的幸福感、获得感、安全感稳步提升。国家积极应对人口老龄化重点联系城市建设取得初步进展，形成一批特色鲜明、行之有效的创新模式和典型经验，形成一批普遍适用、务实管用的应对人口老龄化政策举措。</w:t>
      </w:r>
    </w:p>
    <w:p>
      <w:pPr>
        <w:pStyle w:val="19"/>
        <w:spacing w:after="0" w:line="592" w:lineRule="exact"/>
        <w:ind w:left="0" w:leftChars="0" w:firstLine="642" w:firstLineChars="200"/>
      </w:pPr>
      <w:r>
        <w:rPr>
          <w:rFonts w:eastAsia="楷体_GB2312"/>
          <w:b/>
        </w:rPr>
        <w:t>——老龄工作释放新效能。</w:t>
      </w:r>
      <w:r>
        <w:t>老龄工作体制机制进一步完善，法治化、信息化、规范化程度明显提高，有为政府和有效市场制度体系更加完备，市场活力和社会创造力得到充分激发，党委领导、政府主导、社会参与、全民行动的老龄工作格局效能全面释放。</w:t>
      </w:r>
    </w:p>
    <w:p>
      <w:pPr>
        <w:pStyle w:val="19"/>
        <w:spacing w:after="0" w:line="592" w:lineRule="exact"/>
        <w:ind w:left="0" w:leftChars="0" w:firstLine="642" w:firstLineChars="200"/>
      </w:pPr>
      <w:r>
        <w:rPr>
          <w:rFonts w:eastAsia="楷体_GB2312"/>
          <w:b/>
        </w:rPr>
        <w:t>——社会保障得到新提升。</w:t>
      </w:r>
      <w:r>
        <w:t>社会保险、社会福利、社会救助等社会保障制度和公益慈善事业有效衔接，多支柱、全覆盖、更加公平、更可持续的社会保障体系更加完善，基本养老保险参保人数达到213.8万人，户籍人口基本医疗保障参保率达到99%以上，老年人以外伤害保险参保率达到50%以上。</w:t>
      </w:r>
    </w:p>
    <w:p>
      <w:pPr>
        <w:pStyle w:val="19"/>
        <w:spacing w:after="0" w:line="592" w:lineRule="exact"/>
        <w:ind w:left="0" w:leftChars="0" w:firstLine="642" w:firstLineChars="200"/>
      </w:pPr>
      <w:r>
        <w:rPr>
          <w:rFonts w:eastAsia="楷体_GB2312"/>
          <w:b/>
        </w:rPr>
        <w:t>——养老服务实现新跨越。</w:t>
      </w:r>
      <w:r>
        <w:t>养老服务体系持续优化，人人享有基本养老服务，居家社区机构相协调、医养康养相结合的养老服务体系更加健全，生活不能自理的特困老年人集中供养率达到95%以上，养老机构护理型床位占比达到58%，乡镇（街道）居家养老服务中心覆盖率达到100%。</w:t>
      </w:r>
    </w:p>
    <w:p>
      <w:pPr>
        <w:pStyle w:val="19"/>
        <w:spacing w:after="0" w:line="592" w:lineRule="exact"/>
        <w:ind w:left="0" w:leftChars="0" w:firstLine="642" w:firstLineChars="200"/>
      </w:pPr>
      <w:r>
        <w:rPr>
          <w:rFonts w:eastAsia="楷体_GB2312"/>
          <w:b/>
        </w:rPr>
        <w:t>——健康支撑迈上新台阶。</w:t>
      </w:r>
      <w:r>
        <w:t>老年健康服务资源配置持续优化，综合连续、覆盖城乡的老年健康服务体系全面建立，人均预期寿命达到81.5岁，居民健康素养达到40%，二级及以上综合医院和二甲及以上中医医院规范设置老年医学科的比例达到60%以上。</w:t>
      </w:r>
    </w:p>
    <w:p>
      <w:pPr>
        <w:pStyle w:val="19"/>
        <w:spacing w:after="0" w:line="592" w:lineRule="exact"/>
        <w:ind w:left="0" w:leftChars="0" w:firstLine="642" w:firstLineChars="200"/>
        <w:rPr>
          <w:b/>
        </w:rPr>
      </w:pPr>
      <w:r>
        <w:rPr>
          <w:rFonts w:eastAsia="楷体_GB2312"/>
          <w:b/>
        </w:rPr>
        <w:t>——产品供给取得新突破。</w:t>
      </w:r>
      <w:r>
        <w:t>健康管理、康复辅助、养老监护等智能产品种类不断丰富，服务模式进一步创新，服务能力和服务质量明显提升，老龄产业快速健康发展，市场规模和供给水平进一步提升，康养联合体达到100个，康复辅具租售中心覆盖率达到60%。</w:t>
      </w:r>
    </w:p>
    <w:p>
      <w:pPr>
        <w:pStyle w:val="19"/>
        <w:spacing w:after="0" w:line="592" w:lineRule="exact"/>
        <w:ind w:left="0" w:leftChars="0" w:firstLine="642" w:firstLineChars="200"/>
        <w:rPr>
          <w:b/>
        </w:rPr>
      </w:pPr>
      <w:r>
        <w:rPr>
          <w:rFonts w:eastAsia="楷体_GB2312"/>
          <w:b/>
        </w:rPr>
        <w:t>——人力资源展现新风采。</w:t>
      </w:r>
      <w:r>
        <w:t>各级老龄工作机构更加完善、城乡社区老龄工作力量更加强劲、老龄科研队伍更加强大，全员劳动生产率与经济增长基本同步，总和生育率处于1.1-1.3之间，经常性参加教育活动的老年人占比达到23%。</w:t>
      </w:r>
    </w:p>
    <w:p>
      <w:pPr>
        <w:pStyle w:val="19"/>
        <w:spacing w:after="0" w:line="592" w:lineRule="exact"/>
        <w:ind w:left="0" w:leftChars="0" w:firstLine="642" w:firstLineChars="200"/>
      </w:pPr>
      <w:r>
        <w:rPr>
          <w:rFonts w:eastAsia="楷体_GB2312"/>
          <w:b/>
        </w:rPr>
        <w:t>——社会环境形成新风尚。</w:t>
      </w:r>
      <w:r>
        <w:t>与积极应对人口老龄化国家战略和我省要求相适应、与“高水平建设和高质量发展重要窗口”打造相协调、与共同富裕美好社会山区样板建设相匹配的老年社会环境基本形成，各地新建城区、新建居住（小）区配套建设养老服务设施覆盖率达到100%，开展“敬老月”活动的县（市、区）覆盖率达到100%。</w:t>
      </w:r>
    </w:p>
    <w:p>
      <w:pPr>
        <w:pStyle w:val="19"/>
        <w:spacing w:after="0" w:line="592" w:lineRule="exact"/>
        <w:ind w:left="0" w:leftChars="0" w:firstLine="642" w:firstLineChars="200"/>
        <w:rPr>
          <w:rFonts w:eastAsia="楷体_GB2312"/>
          <w:b/>
        </w:rPr>
      </w:pPr>
      <w:r>
        <w:rPr>
          <w:rFonts w:eastAsia="楷体_GB2312"/>
          <w:b/>
        </w:rPr>
        <w:t>2.远期目标</w:t>
      </w:r>
    </w:p>
    <w:p>
      <w:pPr>
        <w:widowControl/>
        <w:spacing w:line="592" w:lineRule="exact"/>
        <w:ind w:firstLine="642" w:firstLineChars="200"/>
        <w:rPr>
          <w:rFonts w:cs="Times New Roman"/>
        </w:rPr>
      </w:pPr>
      <w:r>
        <w:rPr>
          <w:rFonts w:eastAsia="楷体_GB2312" w:cs="Times New Roman"/>
          <w:b/>
        </w:rPr>
        <w:t>到2035年，</w:t>
      </w:r>
      <w:r>
        <w:rPr>
          <w:rFonts w:cs="Times New Roman"/>
        </w:rPr>
        <w:t>老年人意外伤害保险参保率达到50以上，生活不能自理的特困老年人集中供养率达到95%以上，二级及以上综合医院和二甲及以上中医医院规范设置老年医学科的比例达到100%，康养联合体数达到150个，城乡老年友好型社区覆盖率达到100%。全面建立与丽水人口老龄化进程相适应的应对体系。社会保障体系、养老服务体系、健康支撑体系“三大基石”全面建立，构建起多层次养老保险制度体系，山区特色养老服务体系基本成熟，与综合连续的国民健康支持体系有效衔接。科技对应对人口老龄化的支撑作用显著增强，老年友好型社会总体建成，“幸福老龄化”愿景初步变为实景。</w:t>
      </w:r>
    </w:p>
    <w:p>
      <w:pPr>
        <w:widowControl/>
        <w:spacing w:line="592" w:lineRule="exact"/>
        <w:ind w:firstLine="642" w:firstLineChars="200"/>
        <w:rPr>
          <w:rFonts w:eastAsia="楷体_GB2312" w:cs="Times New Roman"/>
          <w:b/>
        </w:rPr>
      </w:pPr>
      <w:r>
        <w:rPr>
          <w:rFonts w:eastAsia="楷体_GB2312" w:cs="Times New Roman"/>
          <w:b/>
        </w:rPr>
        <w:t>3.展望目标</w:t>
      </w:r>
    </w:p>
    <w:p>
      <w:pPr>
        <w:widowControl/>
        <w:spacing w:line="592" w:lineRule="exact"/>
        <w:ind w:firstLine="642" w:firstLineChars="200"/>
        <w:rPr>
          <w:rFonts w:cs="Times New Roman"/>
        </w:rPr>
      </w:pPr>
      <w:r>
        <w:rPr>
          <w:rFonts w:eastAsia="楷体_GB2312" w:cs="Times New Roman"/>
          <w:b/>
        </w:rPr>
        <w:t>到2050年，</w:t>
      </w:r>
      <w:r>
        <w:rPr>
          <w:rFonts w:cs="Times New Roman"/>
        </w:rPr>
        <w:t>老年人意外伤害保险参保率达到60%以上，生活不能自理的特困老年人集中供养率达到100%，养老机构护理型床位占比不低于80%，康养联合体数达到300个左右，经常性参加教育活动的老年人占比达到30%以上。与高水平社会主义现代化相适应的应对人口老龄化制度安排成熟完备，老年友好城市、友好乡村、友好社区遍布全市，全体人民生活更加幸福安康，“幸福老龄化”愿景有效实现，全面展示中国特色社会主义制度优越性。</w:t>
      </w:r>
    </w:p>
    <w:p>
      <w:pPr>
        <w:jc w:val="center"/>
        <w:rPr>
          <w:rFonts w:eastAsia="黑体" w:cs="Times New Roman"/>
          <w:bCs/>
          <w:sz w:val="28"/>
          <w:szCs w:val="28"/>
        </w:rPr>
      </w:pPr>
      <w:r>
        <w:rPr>
          <w:rFonts w:eastAsia="黑体" w:cs="Times New Roman"/>
          <w:bCs/>
          <w:sz w:val="28"/>
          <w:szCs w:val="28"/>
        </w:rPr>
        <w:t>表1 丽水市应对人口老龄化主要指标</w:t>
      </w:r>
    </w:p>
    <w:tbl>
      <w:tblPr>
        <w:tblStyle w:val="21"/>
        <w:tblW w:w="62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709"/>
        <w:gridCol w:w="3494"/>
        <w:gridCol w:w="1237"/>
        <w:gridCol w:w="1002"/>
        <w:gridCol w:w="1002"/>
        <w:gridCol w:w="1308"/>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Align w:val="center"/>
          </w:tcPr>
          <w:p>
            <w:pPr>
              <w:pStyle w:val="18"/>
              <w:widowControl/>
              <w:snapToGrid w:val="0"/>
              <w:spacing w:beforeAutospacing="0" w:afterAutospacing="0"/>
              <w:jc w:val="center"/>
              <w:rPr>
                <w:b/>
                <w:bCs/>
                <w:kern w:val="2"/>
              </w:rPr>
            </w:pPr>
            <w:r>
              <w:rPr>
                <w:b/>
                <w:bCs/>
                <w:kern w:val="2"/>
              </w:rPr>
              <w:t>领域</w:t>
            </w:r>
          </w:p>
        </w:tc>
        <w:tc>
          <w:tcPr>
            <w:tcW w:w="334" w:type="pct"/>
            <w:vAlign w:val="center"/>
          </w:tcPr>
          <w:p>
            <w:pPr>
              <w:pStyle w:val="18"/>
              <w:widowControl/>
              <w:snapToGrid w:val="0"/>
              <w:spacing w:beforeAutospacing="0" w:afterAutospacing="0"/>
              <w:jc w:val="center"/>
              <w:rPr>
                <w:b/>
                <w:bCs/>
                <w:kern w:val="2"/>
              </w:rPr>
            </w:pPr>
            <w:r>
              <w:rPr>
                <w:b/>
                <w:bCs/>
                <w:kern w:val="2"/>
              </w:rPr>
              <w:t>序号</w:t>
            </w:r>
          </w:p>
        </w:tc>
        <w:tc>
          <w:tcPr>
            <w:tcW w:w="1646" w:type="pct"/>
            <w:vAlign w:val="center"/>
          </w:tcPr>
          <w:p>
            <w:pPr>
              <w:pStyle w:val="18"/>
              <w:widowControl/>
              <w:snapToGrid w:val="0"/>
              <w:spacing w:beforeAutospacing="0" w:afterAutospacing="0"/>
              <w:jc w:val="center"/>
              <w:rPr>
                <w:b/>
                <w:bCs/>
                <w:kern w:val="2"/>
              </w:rPr>
            </w:pPr>
            <w:r>
              <w:rPr>
                <w:b/>
                <w:bCs/>
                <w:kern w:val="2"/>
              </w:rPr>
              <w:t>指标名称</w:t>
            </w:r>
          </w:p>
        </w:tc>
        <w:tc>
          <w:tcPr>
            <w:tcW w:w="583" w:type="pct"/>
            <w:vAlign w:val="center"/>
          </w:tcPr>
          <w:p>
            <w:pPr>
              <w:pStyle w:val="18"/>
              <w:widowControl/>
              <w:snapToGrid w:val="0"/>
              <w:spacing w:beforeAutospacing="0" w:afterAutospacing="0"/>
              <w:jc w:val="center"/>
              <w:rPr>
                <w:b/>
                <w:bCs/>
                <w:kern w:val="2"/>
              </w:rPr>
            </w:pPr>
            <w:r>
              <w:rPr>
                <w:b/>
                <w:bCs/>
                <w:kern w:val="2"/>
              </w:rPr>
              <w:t>2020年完成情况</w:t>
            </w:r>
          </w:p>
        </w:tc>
        <w:tc>
          <w:tcPr>
            <w:tcW w:w="472" w:type="pct"/>
            <w:vAlign w:val="center"/>
          </w:tcPr>
          <w:p>
            <w:pPr>
              <w:pStyle w:val="18"/>
              <w:widowControl/>
              <w:snapToGrid w:val="0"/>
              <w:spacing w:beforeAutospacing="0" w:afterAutospacing="0"/>
              <w:jc w:val="center"/>
              <w:rPr>
                <w:b/>
                <w:bCs/>
                <w:kern w:val="2"/>
              </w:rPr>
            </w:pPr>
            <w:r>
              <w:rPr>
                <w:b/>
                <w:bCs/>
                <w:kern w:val="2"/>
              </w:rPr>
              <w:t>2025年目标</w:t>
            </w:r>
          </w:p>
        </w:tc>
        <w:tc>
          <w:tcPr>
            <w:tcW w:w="472" w:type="pct"/>
            <w:vAlign w:val="center"/>
          </w:tcPr>
          <w:p>
            <w:pPr>
              <w:pStyle w:val="18"/>
              <w:widowControl/>
              <w:snapToGrid w:val="0"/>
              <w:spacing w:beforeAutospacing="0" w:afterAutospacing="0"/>
              <w:jc w:val="center"/>
              <w:rPr>
                <w:b/>
                <w:bCs/>
                <w:kern w:val="2"/>
              </w:rPr>
            </w:pPr>
            <w:r>
              <w:rPr>
                <w:b/>
                <w:bCs/>
                <w:kern w:val="2"/>
              </w:rPr>
              <w:t>2035年目标</w:t>
            </w:r>
          </w:p>
        </w:tc>
        <w:tc>
          <w:tcPr>
            <w:tcW w:w="616" w:type="pct"/>
            <w:vAlign w:val="center"/>
          </w:tcPr>
          <w:p>
            <w:pPr>
              <w:pStyle w:val="18"/>
              <w:widowControl/>
              <w:snapToGrid w:val="0"/>
              <w:spacing w:beforeAutospacing="0" w:afterAutospacing="0"/>
              <w:jc w:val="center"/>
              <w:rPr>
                <w:b/>
                <w:bCs/>
                <w:kern w:val="2"/>
              </w:rPr>
            </w:pPr>
            <w:r>
              <w:rPr>
                <w:b/>
                <w:bCs/>
                <w:kern w:val="2"/>
              </w:rPr>
              <w:t>数据来源</w:t>
            </w:r>
          </w:p>
        </w:tc>
        <w:tc>
          <w:tcPr>
            <w:tcW w:w="467" w:type="pct"/>
            <w:vAlign w:val="center"/>
          </w:tcPr>
          <w:p>
            <w:pPr>
              <w:pStyle w:val="18"/>
              <w:widowControl/>
              <w:snapToGrid w:val="0"/>
              <w:spacing w:beforeAutospacing="0" w:afterAutospacing="0"/>
              <w:jc w:val="center"/>
              <w:rPr>
                <w:b/>
                <w:bCs/>
                <w:kern w:val="2"/>
              </w:rPr>
            </w:pPr>
            <w:r>
              <w:rPr>
                <w:b/>
                <w:bCs/>
                <w:kern w:val="2"/>
              </w:rPr>
              <w:t>指标</w:t>
            </w:r>
          </w:p>
          <w:p>
            <w:pPr>
              <w:pStyle w:val="18"/>
              <w:widowControl/>
              <w:snapToGrid w:val="0"/>
              <w:spacing w:beforeAutospacing="0" w:afterAutospacing="0"/>
              <w:jc w:val="center"/>
              <w:rPr>
                <w:b/>
                <w:bCs/>
                <w:kern w:val="2"/>
              </w:rPr>
            </w:pPr>
            <w:r>
              <w:rPr>
                <w:b/>
                <w:bCs/>
                <w:kern w:val="2"/>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pPr>
              <w:pStyle w:val="18"/>
              <w:widowControl/>
              <w:snapToGrid w:val="0"/>
              <w:spacing w:beforeAutospacing="0" w:afterAutospacing="0"/>
              <w:jc w:val="center"/>
              <w:rPr>
                <w:b/>
                <w:kern w:val="2"/>
              </w:rPr>
            </w:pPr>
            <w:r>
              <w:rPr>
                <w:b/>
                <w:kern w:val="2"/>
              </w:rPr>
              <w:t>社会保障体系</w:t>
            </w:r>
          </w:p>
        </w:tc>
        <w:tc>
          <w:tcPr>
            <w:tcW w:w="334" w:type="pct"/>
            <w:vAlign w:val="center"/>
          </w:tcPr>
          <w:p>
            <w:pPr>
              <w:pStyle w:val="18"/>
              <w:widowControl/>
              <w:snapToGrid w:val="0"/>
              <w:spacing w:beforeAutospacing="0" w:afterAutospacing="0"/>
              <w:jc w:val="center"/>
              <w:rPr>
                <w:kern w:val="2"/>
              </w:rPr>
            </w:pPr>
            <w:r>
              <w:rPr>
                <w:kern w:val="2"/>
              </w:rPr>
              <w:t>1</w:t>
            </w:r>
          </w:p>
        </w:tc>
        <w:tc>
          <w:tcPr>
            <w:tcW w:w="1646" w:type="pct"/>
            <w:vAlign w:val="center"/>
          </w:tcPr>
          <w:p>
            <w:pPr>
              <w:pStyle w:val="18"/>
              <w:widowControl/>
              <w:snapToGrid w:val="0"/>
              <w:spacing w:beforeAutospacing="0" w:afterAutospacing="0"/>
              <w:jc w:val="center"/>
              <w:rPr>
                <w:kern w:val="2"/>
              </w:rPr>
            </w:pPr>
            <w:r>
              <w:rPr>
                <w:kern w:val="2"/>
              </w:rPr>
              <w:t>基本养老保险参保人数（万人）</w:t>
            </w:r>
          </w:p>
        </w:tc>
        <w:tc>
          <w:tcPr>
            <w:tcW w:w="583" w:type="pct"/>
            <w:vAlign w:val="center"/>
          </w:tcPr>
          <w:p>
            <w:pPr>
              <w:pStyle w:val="18"/>
              <w:widowControl/>
              <w:snapToGrid w:val="0"/>
              <w:spacing w:beforeAutospacing="0" w:afterAutospacing="0"/>
              <w:jc w:val="center"/>
              <w:rPr>
                <w:kern w:val="2"/>
              </w:rPr>
            </w:pPr>
            <w:r>
              <w:rPr>
                <w:kern w:val="2"/>
              </w:rPr>
              <w:t>198.8</w:t>
            </w:r>
          </w:p>
        </w:tc>
        <w:tc>
          <w:tcPr>
            <w:tcW w:w="472" w:type="pct"/>
            <w:vAlign w:val="center"/>
          </w:tcPr>
          <w:p>
            <w:pPr>
              <w:pStyle w:val="18"/>
              <w:widowControl/>
              <w:snapToGrid w:val="0"/>
              <w:spacing w:beforeAutospacing="0" w:afterAutospacing="0"/>
              <w:jc w:val="center"/>
              <w:rPr>
                <w:kern w:val="2"/>
              </w:rPr>
            </w:pPr>
            <w:r>
              <w:rPr>
                <w:kern w:val="2"/>
              </w:rPr>
              <w:t>213.8</w:t>
            </w:r>
          </w:p>
        </w:tc>
        <w:tc>
          <w:tcPr>
            <w:tcW w:w="472" w:type="pct"/>
            <w:vAlign w:val="center"/>
          </w:tcPr>
          <w:p>
            <w:pPr>
              <w:pStyle w:val="18"/>
              <w:widowControl/>
              <w:snapToGrid w:val="0"/>
              <w:spacing w:beforeAutospacing="0" w:afterAutospacing="0"/>
              <w:jc w:val="center"/>
              <w:rPr>
                <w:kern w:val="2"/>
              </w:rPr>
            </w:pPr>
            <w:r>
              <w:rPr>
                <w:kern w:val="2"/>
              </w:rPr>
              <w:t>应保尽保</w:t>
            </w:r>
          </w:p>
        </w:tc>
        <w:tc>
          <w:tcPr>
            <w:tcW w:w="616" w:type="pct"/>
            <w:vAlign w:val="center"/>
          </w:tcPr>
          <w:p>
            <w:pPr>
              <w:pStyle w:val="18"/>
              <w:widowControl/>
              <w:snapToGrid w:val="0"/>
              <w:spacing w:beforeAutospacing="0" w:afterAutospacing="0"/>
              <w:jc w:val="center"/>
              <w:rPr>
                <w:kern w:val="2"/>
              </w:rPr>
            </w:pPr>
            <w:r>
              <w:rPr>
                <w:kern w:val="2"/>
              </w:rPr>
              <w:t>市人力社保局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2</w:t>
            </w:r>
          </w:p>
        </w:tc>
        <w:tc>
          <w:tcPr>
            <w:tcW w:w="1646" w:type="pct"/>
            <w:vAlign w:val="center"/>
          </w:tcPr>
          <w:p>
            <w:pPr>
              <w:pStyle w:val="18"/>
              <w:widowControl/>
              <w:snapToGrid w:val="0"/>
              <w:spacing w:beforeAutospacing="0" w:afterAutospacing="0"/>
              <w:jc w:val="center"/>
              <w:rPr>
                <w:kern w:val="2"/>
              </w:rPr>
            </w:pPr>
            <w:r>
              <w:rPr>
                <w:kern w:val="2"/>
              </w:rPr>
              <w:t>户籍人口基本医疗保障参保率（%）</w:t>
            </w:r>
          </w:p>
        </w:tc>
        <w:tc>
          <w:tcPr>
            <w:tcW w:w="583" w:type="pct"/>
            <w:vAlign w:val="center"/>
          </w:tcPr>
          <w:p>
            <w:pPr>
              <w:pStyle w:val="18"/>
              <w:widowControl/>
              <w:snapToGrid w:val="0"/>
              <w:spacing w:beforeAutospacing="0" w:afterAutospacing="0"/>
              <w:jc w:val="center"/>
              <w:rPr>
                <w:kern w:val="2"/>
              </w:rPr>
            </w:pPr>
            <w:r>
              <w:rPr>
                <w:kern w:val="2"/>
              </w:rPr>
              <w:t>99以上</w:t>
            </w:r>
          </w:p>
        </w:tc>
        <w:tc>
          <w:tcPr>
            <w:tcW w:w="472" w:type="pct"/>
            <w:vAlign w:val="center"/>
          </w:tcPr>
          <w:p>
            <w:pPr>
              <w:pStyle w:val="18"/>
              <w:widowControl/>
              <w:snapToGrid w:val="0"/>
              <w:spacing w:beforeAutospacing="0" w:afterAutospacing="0"/>
              <w:jc w:val="center"/>
              <w:rPr>
                <w:kern w:val="2"/>
              </w:rPr>
            </w:pPr>
            <w:r>
              <w:rPr>
                <w:kern w:val="2"/>
              </w:rPr>
              <w:t>99以上</w:t>
            </w:r>
          </w:p>
        </w:tc>
        <w:tc>
          <w:tcPr>
            <w:tcW w:w="472" w:type="pct"/>
            <w:vAlign w:val="center"/>
          </w:tcPr>
          <w:p>
            <w:pPr>
              <w:pStyle w:val="18"/>
              <w:widowControl/>
              <w:snapToGrid w:val="0"/>
              <w:spacing w:beforeAutospacing="0" w:afterAutospacing="0"/>
              <w:jc w:val="center"/>
              <w:rPr>
                <w:kern w:val="2"/>
              </w:rPr>
            </w:pPr>
            <w:r>
              <w:rPr>
                <w:kern w:val="2"/>
              </w:rPr>
              <w:t>99以上</w:t>
            </w:r>
          </w:p>
        </w:tc>
        <w:tc>
          <w:tcPr>
            <w:tcW w:w="616" w:type="pct"/>
            <w:vAlign w:val="center"/>
          </w:tcPr>
          <w:p>
            <w:pPr>
              <w:pStyle w:val="18"/>
              <w:widowControl/>
              <w:snapToGrid w:val="0"/>
              <w:spacing w:beforeAutospacing="0" w:afterAutospacing="0"/>
              <w:jc w:val="center"/>
              <w:rPr>
                <w:kern w:val="2"/>
              </w:rPr>
            </w:pPr>
            <w:r>
              <w:rPr>
                <w:kern w:val="2"/>
              </w:rPr>
              <w:t>市医疗保障局</w:t>
            </w:r>
          </w:p>
        </w:tc>
        <w:tc>
          <w:tcPr>
            <w:tcW w:w="467" w:type="pct"/>
            <w:vAlign w:val="center"/>
          </w:tcPr>
          <w:p>
            <w:pPr>
              <w:pStyle w:val="18"/>
              <w:widowControl/>
              <w:snapToGrid w:val="0"/>
              <w:spacing w:beforeAutospacing="0" w:afterAutospacing="0"/>
              <w:jc w:val="center"/>
              <w:rPr>
                <w:kern w:val="2"/>
              </w:rPr>
            </w:pPr>
            <w:r>
              <w:rPr>
                <w:kern w:val="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3</w:t>
            </w:r>
          </w:p>
        </w:tc>
        <w:tc>
          <w:tcPr>
            <w:tcW w:w="1646" w:type="pct"/>
            <w:vAlign w:val="center"/>
          </w:tcPr>
          <w:p>
            <w:pPr>
              <w:pStyle w:val="18"/>
              <w:widowControl/>
              <w:snapToGrid w:val="0"/>
              <w:spacing w:beforeAutospacing="0" w:afterAutospacing="0"/>
              <w:jc w:val="center"/>
              <w:rPr>
                <w:kern w:val="2"/>
              </w:rPr>
            </w:pPr>
            <w:r>
              <w:rPr>
                <w:kern w:val="2"/>
              </w:rPr>
              <w:t>老年人意外伤害保险参保率（%）</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45以上</w:t>
            </w:r>
          </w:p>
        </w:tc>
        <w:tc>
          <w:tcPr>
            <w:tcW w:w="472" w:type="pct"/>
            <w:vAlign w:val="center"/>
          </w:tcPr>
          <w:p>
            <w:pPr>
              <w:pStyle w:val="18"/>
              <w:widowControl/>
              <w:snapToGrid w:val="0"/>
              <w:spacing w:beforeAutospacing="0" w:afterAutospacing="0"/>
              <w:jc w:val="center"/>
              <w:rPr>
                <w:kern w:val="2"/>
              </w:rPr>
            </w:pPr>
            <w:r>
              <w:rPr>
                <w:kern w:val="2"/>
              </w:rPr>
              <w:t>50以上</w:t>
            </w:r>
          </w:p>
        </w:tc>
        <w:tc>
          <w:tcPr>
            <w:tcW w:w="616" w:type="pct"/>
            <w:vAlign w:val="center"/>
          </w:tcPr>
          <w:p>
            <w:pPr>
              <w:pStyle w:val="18"/>
              <w:widowControl/>
              <w:snapToGrid w:val="0"/>
              <w:spacing w:beforeAutospacing="0" w:afterAutospacing="0"/>
              <w:jc w:val="center"/>
              <w:rPr>
                <w:kern w:val="2"/>
              </w:rPr>
            </w:pPr>
            <w:r>
              <w:rPr>
                <w:kern w:val="2"/>
              </w:rPr>
              <w:t>市民政局、市卫健委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pPr>
              <w:pStyle w:val="18"/>
              <w:widowControl/>
              <w:snapToGrid w:val="0"/>
              <w:spacing w:beforeAutospacing="0" w:afterAutospacing="0"/>
              <w:jc w:val="center"/>
              <w:rPr>
                <w:b/>
                <w:kern w:val="2"/>
              </w:rPr>
            </w:pPr>
            <w:r>
              <w:rPr>
                <w:b/>
                <w:kern w:val="2"/>
              </w:rPr>
              <w:t>养老服务体系</w:t>
            </w:r>
          </w:p>
        </w:tc>
        <w:tc>
          <w:tcPr>
            <w:tcW w:w="334" w:type="pct"/>
            <w:vAlign w:val="center"/>
          </w:tcPr>
          <w:p>
            <w:pPr>
              <w:pStyle w:val="18"/>
              <w:widowControl/>
              <w:snapToGrid w:val="0"/>
              <w:spacing w:beforeAutospacing="0" w:afterAutospacing="0"/>
              <w:jc w:val="center"/>
              <w:rPr>
                <w:kern w:val="2"/>
              </w:rPr>
            </w:pPr>
            <w:r>
              <w:rPr>
                <w:kern w:val="2"/>
              </w:rPr>
              <w:t>4</w:t>
            </w:r>
          </w:p>
        </w:tc>
        <w:tc>
          <w:tcPr>
            <w:tcW w:w="1646" w:type="pct"/>
            <w:vAlign w:val="center"/>
          </w:tcPr>
          <w:p>
            <w:pPr>
              <w:pStyle w:val="18"/>
              <w:widowControl/>
              <w:snapToGrid w:val="0"/>
              <w:spacing w:beforeAutospacing="0" w:afterAutospacing="0"/>
              <w:jc w:val="center"/>
              <w:rPr>
                <w:kern w:val="2"/>
              </w:rPr>
            </w:pPr>
            <w:r>
              <w:rPr>
                <w:kern w:val="2"/>
              </w:rPr>
              <w:t>生活不能自理的特困老年人集中供养率（%）</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95</w:t>
            </w:r>
          </w:p>
        </w:tc>
        <w:tc>
          <w:tcPr>
            <w:tcW w:w="472" w:type="pct"/>
            <w:vAlign w:val="center"/>
          </w:tcPr>
          <w:p>
            <w:pPr>
              <w:pStyle w:val="18"/>
              <w:widowControl/>
              <w:snapToGrid w:val="0"/>
              <w:spacing w:beforeAutospacing="0" w:afterAutospacing="0"/>
              <w:jc w:val="center"/>
              <w:rPr>
                <w:kern w:val="2"/>
              </w:rPr>
            </w:pPr>
            <w:r>
              <w:rPr>
                <w:kern w:val="2"/>
              </w:rPr>
              <w:t>95以上</w:t>
            </w:r>
          </w:p>
        </w:tc>
        <w:tc>
          <w:tcPr>
            <w:tcW w:w="616" w:type="pct"/>
            <w:vAlign w:val="center"/>
          </w:tcPr>
          <w:p>
            <w:pPr>
              <w:pStyle w:val="18"/>
              <w:widowControl/>
              <w:snapToGrid w:val="0"/>
              <w:spacing w:beforeAutospacing="0" w:afterAutospacing="0"/>
              <w:jc w:val="center"/>
              <w:rPr>
                <w:kern w:val="2"/>
              </w:rPr>
            </w:pPr>
            <w:r>
              <w:rPr>
                <w:kern w:val="2"/>
              </w:rPr>
              <w:t>市民政局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5</w:t>
            </w:r>
          </w:p>
        </w:tc>
        <w:tc>
          <w:tcPr>
            <w:tcW w:w="1646" w:type="pct"/>
            <w:vAlign w:val="center"/>
          </w:tcPr>
          <w:p>
            <w:pPr>
              <w:pStyle w:val="18"/>
              <w:widowControl/>
              <w:snapToGrid w:val="0"/>
              <w:spacing w:beforeAutospacing="0" w:afterAutospacing="0"/>
              <w:jc w:val="center"/>
              <w:rPr>
                <w:kern w:val="2"/>
              </w:rPr>
            </w:pPr>
            <w:r>
              <w:t>养老机构护理型床位占比（%）</w:t>
            </w:r>
          </w:p>
        </w:tc>
        <w:tc>
          <w:tcPr>
            <w:tcW w:w="583" w:type="pct"/>
            <w:vAlign w:val="center"/>
          </w:tcPr>
          <w:p>
            <w:pPr>
              <w:pStyle w:val="18"/>
              <w:widowControl/>
              <w:snapToGrid w:val="0"/>
              <w:spacing w:beforeAutospacing="0" w:afterAutospacing="0"/>
              <w:jc w:val="center"/>
              <w:rPr>
                <w:kern w:val="2"/>
              </w:rPr>
            </w:pPr>
            <w:r>
              <w:rPr>
                <w:kern w:val="2"/>
              </w:rPr>
              <w:t>54.9</w:t>
            </w:r>
          </w:p>
        </w:tc>
        <w:tc>
          <w:tcPr>
            <w:tcW w:w="472" w:type="pct"/>
            <w:vAlign w:val="center"/>
          </w:tcPr>
          <w:p>
            <w:pPr>
              <w:pStyle w:val="18"/>
              <w:widowControl/>
              <w:snapToGrid w:val="0"/>
              <w:spacing w:beforeAutospacing="0" w:afterAutospacing="0"/>
              <w:jc w:val="center"/>
              <w:rPr>
                <w:kern w:val="2"/>
              </w:rPr>
            </w:pPr>
            <w:r>
              <w:rPr>
                <w:kern w:val="2"/>
              </w:rPr>
              <w:t>58</w:t>
            </w:r>
          </w:p>
        </w:tc>
        <w:tc>
          <w:tcPr>
            <w:tcW w:w="472" w:type="pct"/>
            <w:vAlign w:val="center"/>
          </w:tcPr>
          <w:p>
            <w:pPr>
              <w:pStyle w:val="18"/>
              <w:widowControl/>
              <w:snapToGrid w:val="0"/>
              <w:spacing w:beforeAutospacing="0" w:afterAutospacing="0"/>
              <w:jc w:val="center"/>
              <w:rPr>
                <w:kern w:val="2"/>
              </w:rPr>
            </w:pPr>
            <w:r>
              <w:rPr>
                <w:kern w:val="2"/>
              </w:rPr>
              <w:t>65以上</w:t>
            </w:r>
          </w:p>
        </w:tc>
        <w:tc>
          <w:tcPr>
            <w:tcW w:w="616" w:type="pct"/>
            <w:vAlign w:val="center"/>
          </w:tcPr>
          <w:p>
            <w:pPr>
              <w:pStyle w:val="18"/>
              <w:widowControl/>
              <w:snapToGrid w:val="0"/>
              <w:spacing w:beforeAutospacing="0" w:afterAutospacing="0"/>
              <w:jc w:val="center"/>
              <w:rPr>
                <w:kern w:val="2"/>
              </w:rPr>
            </w:pPr>
            <w:r>
              <w:rPr>
                <w:kern w:val="2"/>
              </w:rPr>
              <w:t>市民政局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6</w:t>
            </w:r>
          </w:p>
        </w:tc>
        <w:tc>
          <w:tcPr>
            <w:tcW w:w="1646" w:type="pct"/>
            <w:vAlign w:val="center"/>
          </w:tcPr>
          <w:p>
            <w:pPr>
              <w:pStyle w:val="18"/>
              <w:widowControl/>
              <w:snapToGrid w:val="0"/>
              <w:spacing w:beforeAutospacing="0" w:afterAutospacing="0"/>
              <w:jc w:val="center"/>
              <w:rPr>
                <w:kern w:val="2"/>
              </w:rPr>
            </w:pPr>
            <w:r>
              <w:t>每万老年人口拥有持证养老护理员数（人）</w:t>
            </w:r>
          </w:p>
        </w:tc>
        <w:tc>
          <w:tcPr>
            <w:tcW w:w="583" w:type="pct"/>
            <w:vAlign w:val="center"/>
          </w:tcPr>
          <w:p>
            <w:pPr>
              <w:pStyle w:val="18"/>
              <w:widowControl/>
              <w:snapToGrid w:val="0"/>
              <w:spacing w:beforeAutospacing="0" w:afterAutospacing="0"/>
              <w:jc w:val="center"/>
              <w:rPr>
                <w:kern w:val="2"/>
              </w:rPr>
            </w:pPr>
            <w:r>
              <w:rPr>
                <w:kern w:val="2"/>
              </w:rPr>
              <w:t>12</w:t>
            </w:r>
          </w:p>
        </w:tc>
        <w:tc>
          <w:tcPr>
            <w:tcW w:w="472" w:type="pct"/>
            <w:vAlign w:val="center"/>
          </w:tcPr>
          <w:p>
            <w:pPr>
              <w:pStyle w:val="18"/>
              <w:widowControl/>
              <w:snapToGrid w:val="0"/>
              <w:spacing w:beforeAutospacing="0" w:afterAutospacing="0"/>
              <w:jc w:val="center"/>
              <w:rPr>
                <w:kern w:val="2"/>
              </w:rPr>
            </w:pPr>
            <w:r>
              <w:rPr>
                <w:kern w:val="2"/>
              </w:rPr>
              <w:t>25</w:t>
            </w:r>
          </w:p>
        </w:tc>
        <w:tc>
          <w:tcPr>
            <w:tcW w:w="472" w:type="pct"/>
            <w:vAlign w:val="center"/>
          </w:tcPr>
          <w:p>
            <w:pPr>
              <w:pStyle w:val="18"/>
              <w:widowControl/>
              <w:snapToGrid w:val="0"/>
              <w:spacing w:beforeAutospacing="0" w:afterAutospacing="0"/>
              <w:jc w:val="center"/>
              <w:rPr>
                <w:kern w:val="2"/>
              </w:rPr>
            </w:pPr>
            <w:r>
              <w:rPr>
                <w:kern w:val="2"/>
              </w:rPr>
              <w:t>50以上</w:t>
            </w:r>
          </w:p>
        </w:tc>
        <w:tc>
          <w:tcPr>
            <w:tcW w:w="616" w:type="pct"/>
            <w:vAlign w:val="center"/>
          </w:tcPr>
          <w:p>
            <w:pPr>
              <w:pStyle w:val="18"/>
              <w:widowControl/>
              <w:snapToGrid w:val="0"/>
              <w:spacing w:beforeAutospacing="0" w:afterAutospacing="0"/>
              <w:jc w:val="center"/>
              <w:rPr>
                <w:kern w:val="2"/>
              </w:rPr>
            </w:pPr>
            <w:r>
              <w:rPr>
                <w:kern w:val="2"/>
              </w:rPr>
              <w:t>市民政局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7</w:t>
            </w:r>
          </w:p>
        </w:tc>
        <w:tc>
          <w:tcPr>
            <w:tcW w:w="1646" w:type="pct"/>
            <w:vAlign w:val="center"/>
          </w:tcPr>
          <w:p>
            <w:pPr>
              <w:pStyle w:val="18"/>
              <w:widowControl/>
              <w:snapToGrid w:val="0"/>
              <w:spacing w:beforeAutospacing="0" w:afterAutospacing="0"/>
              <w:jc w:val="center"/>
              <w:rPr>
                <w:kern w:val="2"/>
              </w:rPr>
            </w:pPr>
            <w:r>
              <w:rPr>
                <w:kern w:val="2"/>
              </w:rPr>
              <w:t>乡镇（街道）居家养老服务中心覆盖率（%）</w:t>
            </w:r>
          </w:p>
        </w:tc>
        <w:tc>
          <w:tcPr>
            <w:tcW w:w="583" w:type="pct"/>
            <w:vAlign w:val="center"/>
          </w:tcPr>
          <w:p>
            <w:pPr>
              <w:pStyle w:val="18"/>
              <w:widowControl/>
              <w:snapToGrid w:val="0"/>
              <w:spacing w:beforeAutospacing="0" w:afterAutospacing="0"/>
              <w:jc w:val="center"/>
              <w:rPr>
                <w:kern w:val="2"/>
              </w:rPr>
            </w:pPr>
            <w:r>
              <w:rPr>
                <w:kern w:val="2"/>
              </w:rPr>
              <w:t>73</w:t>
            </w:r>
          </w:p>
        </w:tc>
        <w:tc>
          <w:tcPr>
            <w:tcW w:w="472" w:type="pct"/>
            <w:vAlign w:val="center"/>
          </w:tcPr>
          <w:p>
            <w:pPr>
              <w:pStyle w:val="18"/>
              <w:widowControl/>
              <w:snapToGrid w:val="0"/>
              <w:spacing w:beforeAutospacing="0" w:afterAutospacing="0"/>
              <w:jc w:val="center"/>
              <w:rPr>
                <w:kern w:val="2"/>
              </w:rPr>
            </w:pPr>
            <w:r>
              <w:rPr>
                <w:kern w:val="2"/>
              </w:rPr>
              <w:t>100</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市民政局</w:t>
            </w:r>
          </w:p>
        </w:tc>
        <w:tc>
          <w:tcPr>
            <w:tcW w:w="467" w:type="pct"/>
            <w:vAlign w:val="center"/>
          </w:tcPr>
          <w:p>
            <w:pPr>
              <w:pStyle w:val="18"/>
              <w:widowControl/>
              <w:snapToGrid w:val="0"/>
              <w:spacing w:beforeAutospacing="0" w:afterAutospacing="0"/>
              <w:jc w:val="center"/>
              <w:rPr>
                <w:kern w:val="2"/>
              </w:rPr>
            </w:pPr>
            <w:r>
              <w:rPr>
                <w:kern w:val="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8</w:t>
            </w:r>
          </w:p>
        </w:tc>
        <w:tc>
          <w:tcPr>
            <w:tcW w:w="1646" w:type="pct"/>
            <w:vAlign w:val="center"/>
          </w:tcPr>
          <w:p>
            <w:pPr>
              <w:pStyle w:val="18"/>
              <w:widowControl/>
              <w:snapToGrid w:val="0"/>
              <w:spacing w:beforeAutospacing="0" w:afterAutospacing="0"/>
              <w:jc w:val="center"/>
              <w:rPr>
                <w:kern w:val="2"/>
              </w:rPr>
            </w:pPr>
            <w:r>
              <w:rPr>
                <w:kern w:val="2"/>
              </w:rPr>
              <w:t>特殊困难老年人月探访率（%）</w:t>
            </w:r>
          </w:p>
        </w:tc>
        <w:tc>
          <w:tcPr>
            <w:tcW w:w="583" w:type="pct"/>
            <w:vAlign w:val="center"/>
          </w:tcPr>
          <w:p>
            <w:pPr>
              <w:pStyle w:val="18"/>
              <w:widowControl/>
              <w:snapToGrid w:val="0"/>
              <w:spacing w:beforeAutospacing="0" w:afterAutospacing="0"/>
              <w:jc w:val="center"/>
              <w:rPr>
                <w:kern w:val="2"/>
              </w:rPr>
            </w:pPr>
            <w:r>
              <w:rPr>
                <w:kern w:val="2"/>
              </w:rPr>
              <w:t>80</w:t>
            </w:r>
          </w:p>
        </w:tc>
        <w:tc>
          <w:tcPr>
            <w:tcW w:w="472" w:type="pct"/>
            <w:vAlign w:val="center"/>
          </w:tcPr>
          <w:p>
            <w:pPr>
              <w:pStyle w:val="18"/>
              <w:widowControl/>
              <w:snapToGrid w:val="0"/>
              <w:spacing w:beforeAutospacing="0" w:afterAutospacing="0"/>
              <w:jc w:val="center"/>
              <w:rPr>
                <w:kern w:val="2"/>
              </w:rPr>
            </w:pPr>
            <w:r>
              <w:rPr>
                <w:kern w:val="2"/>
              </w:rPr>
              <w:t>95</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市民政局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pPr>
              <w:pStyle w:val="18"/>
              <w:widowControl/>
              <w:snapToGrid w:val="0"/>
              <w:spacing w:beforeAutospacing="0" w:afterAutospacing="0"/>
              <w:jc w:val="center"/>
              <w:rPr>
                <w:b/>
                <w:kern w:val="2"/>
              </w:rPr>
            </w:pPr>
            <w:r>
              <w:rPr>
                <w:b/>
                <w:kern w:val="2"/>
              </w:rPr>
              <w:t>健康支撑体系</w:t>
            </w:r>
          </w:p>
        </w:tc>
        <w:tc>
          <w:tcPr>
            <w:tcW w:w="334" w:type="pct"/>
            <w:vAlign w:val="center"/>
          </w:tcPr>
          <w:p>
            <w:pPr>
              <w:pStyle w:val="18"/>
              <w:widowControl/>
              <w:snapToGrid w:val="0"/>
              <w:spacing w:beforeAutospacing="0" w:afterAutospacing="0"/>
              <w:jc w:val="center"/>
              <w:rPr>
                <w:kern w:val="2"/>
              </w:rPr>
            </w:pPr>
            <w:r>
              <w:rPr>
                <w:kern w:val="2"/>
              </w:rPr>
              <w:t>9</w:t>
            </w:r>
          </w:p>
        </w:tc>
        <w:tc>
          <w:tcPr>
            <w:tcW w:w="1646" w:type="pct"/>
            <w:vAlign w:val="center"/>
          </w:tcPr>
          <w:p>
            <w:pPr>
              <w:pStyle w:val="18"/>
              <w:widowControl/>
              <w:snapToGrid w:val="0"/>
              <w:spacing w:beforeAutospacing="0" w:afterAutospacing="0"/>
              <w:jc w:val="center"/>
              <w:rPr>
                <w:kern w:val="2"/>
              </w:rPr>
            </w:pPr>
            <w:r>
              <w:rPr>
                <w:kern w:val="2"/>
              </w:rPr>
              <w:t>人均预期寿命（岁）</w:t>
            </w:r>
          </w:p>
        </w:tc>
        <w:tc>
          <w:tcPr>
            <w:tcW w:w="583" w:type="pct"/>
            <w:vAlign w:val="center"/>
          </w:tcPr>
          <w:p>
            <w:pPr>
              <w:widowControl/>
              <w:snapToGrid w:val="0"/>
              <w:jc w:val="center"/>
              <w:rPr>
                <w:rFonts w:cs="Times New Roman"/>
                <w:sz w:val="24"/>
              </w:rPr>
            </w:pPr>
            <w:r>
              <w:rPr>
                <w:rFonts w:cs="Times New Roman"/>
                <w:color w:val="333333"/>
                <w:kern w:val="0"/>
                <w:sz w:val="24"/>
              </w:rPr>
              <w:t>81.04</w:t>
            </w:r>
          </w:p>
        </w:tc>
        <w:tc>
          <w:tcPr>
            <w:tcW w:w="472" w:type="pct"/>
            <w:vAlign w:val="center"/>
          </w:tcPr>
          <w:p>
            <w:pPr>
              <w:widowControl/>
              <w:snapToGrid w:val="0"/>
              <w:jc w:val="center"/>
              <w:rPr>
                <w:rFonts w:cs="Times New Roman"/>
                <w:sz w:val="24"/>
              </w:rPr>
            </w:pPr>
            <w:r>
              <w:rPr>
                <w:rFonts w:cs="Times New Roman"/>
                <w:color w:val="333333"/>
                <w:kern w:val="0"/>
                <w:sz w:val="24"/>
              </w:rPr>
              <w:t>81.5</w:t>
            </w:r>
          </w:p>
        </w:tc>
        <w:tc>
          <w:tcPr>
            <w:tcW w:w="472" w:type="pct"/>
            <w:vAlign w:val="center"/>
          </w:tcPr>
          <w:p>
            <w:pPr>
              <w:pStyle w:val="18"/>
              <w:widowControl/>
              <w:snapToGrid w:val="0"/>
              <w:spacing w:beforeAutospacing="0" w:afterAutospacing="0"/>
              <w:jc w:val="center"/>
              <w:rPr>
                <w:kern w:val="2"/>
              </w:rPr>
            </w:pPr>
            <w:r>
              <w:rPr>
                <w:kern w:val="2"/>
              </w:rPr>
              <w:t>高于全省平均水平</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10</w:t>
            </w:r>
          </w:p>
        </w:tc>
        <w:tc>
          <w:tcPr>
            <w:tcW w:w="1646" w:type="pct"/>
            <w:vAlign w:val="center"/>
          </w:tcPr>
          <w:p>
            <w:pPr>
              <w:pStyle w:val="18"/>
              <w:widowControl/>
              <w:snapToGrid w:val="0"/>
              <w:spacing w:beforeAutospacing="0" w:afterAutospacing="0"/>
              <w:jc w:val="center"/>
              <w:rPr>
                <w:kern w:val="2"/>
              </w:rPr>
            </w:pPr>
            <w:r>
              <w:rPr>
                <w:kern w:val="2"/>
              </w:rPr>
              <w:t>居民健康素养（%）</w:t>
            </w:r>
          </w:p>
        </w:tc>
        <w:tc>
          <w:tcPr>
            <w:tcW w:w="583" w:type="pct"/>
            <w:vAlign w:val="center"/>
          </w:tcPr>
          <w:p>
            <w:pPr>
              <w:pStyle w:val="18"/>
              <w:widowControl/>
              <w:snapToGrid w:val="0"/>
              <w:spacing w:beforeAutospacing="0" w:afterAutospacing="0"/>
              <w:jc w:val="center"/>
              <w:rPr>
                <w:kern w:val="2"/>
              </w:rPr>
            </w:pPr>
            <w:r>
              <w:rPr>
                <w:kern w:val="2"/>
              </w:rPr>
              <w:t>32.3</w:t>
            </w:r>
          </w:p>
        </w:tc>
        <w:tc>
          <w:tcPr>
            <w:tcW w:w="472" w:type="pct"/>
            <w:vAlign w:val="center"/>
          </w:tcPr>
          <w:p>
            <w:pPr>
              <w:pStyle w:val="18"/>
              <w:widowControl/>
              <w:snapToGrid w:val="0"/>
              <w:spacing w:beforeAutospacing="0" w:afterAutospacing="0"/>
              <w:jc w:val="center"/>
              <w:rPr>
                <w:kern w:val="2"/>
              </w:rPr>
            </w:pPr>
            <w:r>
              <w:rPr>
                <w:kern w:val="2"/>
              </w:rPr>
              <w:t>40</w:t>
            </w:r>
          </w:p>
        </w:tc>
        <w:tc>
          <w:tcPr>
            <w:tcW w:w="472" w:type="pct"/>
            <w:vAlign w:val="center"/>
          </w:tcPr>
          <w:p>
            <w:pPr>
              <w:pStyle w:val="18"/>
              <w:widowControl/>
              <w:snapToGrid w:val="0"/>
              <w:spacing w:beforeAutospacing="0" w:afterAutospacing="0"/>
              <w:jc w:val="center"/>
              <w:rPr>
                <w:kern w:val="2"/>
              </w:rPr>
            </w:pPr>
            <w:r>
              <w:rPr>
                <w:kern w:val="2"/>
              </w:rPr>
              <w:t>高于全省平均水平</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11</w:t>
            </w:r>
          </w:p>
        </w:tc>
        <w:tc>
          <w:tcPr>
            <w:tcW w:w="1646" w:type="pct"/>
            <w:vAlign w:val="center"/>
          </w:tcPr>
          <w:p>
            <w:pPr>
              <w:pStyle w:val="18"/>
              <w:widowControl/>
              <w:snapToGrid w:val="0"/>
              <w:spacing w:beforeAutospacing="0" w:afterAutospacing="0"/>
              <w:jc w:val="center"/>
              <w:rPr>
                <w:kern w:val="2"/>
              </w:rPr>
            </w:pPr>
            <w:r>
              <w:rPr>
                <w:kern w:val="2"/>
              </w:rPr>
              <w:t>重大慢性病过早死亡率（%）</w:t>
            </w:r>
          </w:p>
        </w:tc>
        <w:tc>
          <w:tcPr>
            <w:tcW w:w="583" w:type="pct"/>
            <w:vAlign w:val="center"/>
          </w:tcPr>
          <w:p>
            <w:pPr>
              <w:pStyle w:val="18"/>
              <w:widowControl/>
              <w:snapToGrid w:val="0"/>
              <w:spacing w:beforeAutospacing="0" w:afterAutospacing="0"/>
              <w:jc w:val="center"/>
              <w:rPr>
                <w:kern w:val="2"/>
              </w:rPr>
            </w:pPr>
            <w:r>
              <w:rPr>
                <w:kern w:val="2"/>
              </w:rPr>
              <w:t>9.91</w:t>
            </w:r>
          </w:p>
        </w:tc>
        <w:tc>
          <w:tcPr>
            <w:tcW w:w="472" w:type="pct"/>
            <w:vAlign w:val="center"/>
          </w:tcPr>
          <w:p>
            <w:pPr>
              <w:pStyle w:val="18"/>
              <w:widowControl/>
              <w:snapToGrid w:val="0"/>
              <w:spacing w:beforeAutospacing="0" w:afterAutospacing="0"/>
              <w:jc w:val="center"/>
              <w:rPr>
                <w:kern w:val="2"/>
              </w:rPr>
            </w:pPr>
            <w:r>
              <w:rPr>
                <w:kern w:val="2"/>
              </w:rPr>
              <w:t>8.5以下</w:t>
            </w:r>
          </w:p>
        </w:tc>
        <w:tc>
          <w:tcPr>
            <w:tcW w:w="472" w:type="pct"/>
            <w:vAlign w:val="center"/>
          </w:tcPr>
          <w:p>
            <w:pPr>
              <w:pStyle w:val="18"/>
              <w:widowControl/>
              <w:snapToGrid w:val="0"/>
              <w:spacing w:beforeAutospacing="0" w:afterAutospacing="0"/>
              <w:jc w:val="center"/>
              <w:rPr>
                <w:kern w:val="2"/>
              </w:rPr>
            </w:pPr>
            <w:r>
              <w:rPr>
                <w:kern w:val="2"/>
              </w:rPr>
              <w:t>低于全省平均水平</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12</w:t>
            </w:r>
          </w:p>
        </w:tc>
        <w:tc>
          <w:tcPr>
            <w:tcW w:w="1646" w:type="pct"/>
            <w:vAlign w:val="center"/>
          </w:tcPr>
          <w:p>
            <w:pPr>
              <w:pStyle w:val="18"/>
              <w:widowControl/>
              <w:snapToGrid w:val="0"/>
              <w:spacing w:beforeAutospacing="0" w:afterAutospacing="0"/>
              <w:jc w:val="center"/>
              <w:rPr>
                <w:kern w:val="2"/>
              </w:rPr>
            </w:pPr>
            <w:r>
              <w:rPr>
                <w:kern w:val="2"/>
              </w:rPr>
              <w:t>二级及以上综合医院和二甲及以上中医医院规范设置老年医学科的比例（%）</w:t>
            </w:r>
          </w:p>
        </w:tc>
        <w:tc>
          <w:tcPr>
            <w:tcW w:w="583" w:type="pct"/>
            <w:vAlign w:val="center"/>
          </w:tcPr>
          <w:p>
            <w:pPr>
              <w:pStyle w:val="18"/>
              <w:widowControl/>
              <w:snapToGrid w:val="0"/>
              <w:spacing w:beforeAutospacing="0" w:afterAutospacing="0"/>
              <w:jc w:val="center"/>
              <w:rPr>
                <w:kern w:val="2"/>
              </w:rPr>
            </w:pPr>
            <w:r>
              <w:rPr>
                <w:kern w:val="2"/>
              </w:rPr>
              <w:t>14.3</w:t>
            </w:r>
          </w:p>
        </w:tc>
        <w:tc>
          <w:tcPr>
            <w:tcW w:w="472" w:type="pct"/>
            <w:vAlign w:val="center"/>
          </w:tcPr>
          <w:p>
            <w:pPr>
              <w:pStyle w:val="18"/>
              <w:widowControl/>
              <w:snapToGrid w:val="0"/>
              <w:spacing w:beforeAutospacing="0" w:afterAutospacing="0"/>
              <w:jc w:val="center"/>
              <w:rPr>
                <w:kern w:val="2"/>
              </w:rPr>
            </w:pPr>
            <w:r>
              <w:rPr>
                <w:kern w:val="2"/>
              </w:rPr>
              <w:t>60以上</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13</w:t>
            </w:r>
          </w:p>
        </w:tc>
        <w:tc>
          <w:tcPr>
            <w:tcW w:w="1646" w:type="pct"/>
            <w:vAlign w:val="center"/>
          </w:tcPr>
          <w:p>
            <w:pPr>
              <w:pStyle w:val="18"/>
              <w:widowControl/>
              <w:snapToGrid w:val="0"/>
              <w:spacing w:beforeAutospacing="0" w:afterAutospacing="0"/>
              <w:jc w:val="center"/>
              <w:rPr>
                <w:kern w:val="2"/>
              </w:rPr>
            </w:pPr>
            <w:r>
              <w:rPr>
                <w:kern w:val="2"/>
              </w:rPr>
              <w:t>经常性参加体育活动的老年人占比（%）</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25以上</w:t>
            </w:r>
          </w:p>
        </w:tc>
        <w:tc>
          <w:tcPr>
            <w:tcW w:w="472" w:type="pct"/>
            <w:vAlign w:val="center"/>
          </w:tcPr>
          <w:p>
            <w:pPr>
              <w:pStyle w:val="18"/>
              <w:widowControl/>
              <w:snapToGrid w:val="0"/>
              <w:spacing w:beforeAutospacing="0" w:afterAutospacing="0"/>
              <w:jc w:val="center"/>
              <w:rPr>
                <w:kern w:val="2"/>
              </w:rPr>
            </w:pPr>
            <w:r>
              <w:rPr>
                <w:kern w:val="2"/>
              </w:rPr>
              <w:t>高于全省平均水平</w:t>
            </w:r>
          </w:p>
        </w:tc>
        <w:tc>
          <w:tcPr>
            <w:tcW w:w="616" w:type="pct"/>
            <w:vAlign w:val="center"/>
          </w:tcPr>
          <w:p>
            <w:pPr>
              <w:pStyle w:val="18"/>
              <w:widowControl/>
              <w:snapToGrid w:val="0"/>
              <w:spacing w:beforeAutospacing="0" w:afterAutospacing="0"/>
              <w:jc w:val="center"/>
              <w:rPr>
                <w:kern w:val="2"/>
              </w:rPr>
            </w:pPr>
            <w:r>
              <w:rPr>
                <w:kern w:val="2"/>
              </w:rPr>
              <w:t>市体育发展中心</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pPr>
              <w:pStyle w:val="18"/>
              <w:widowControl/>
              <w:snapToGrid w:val="0"/>
              <w:spacing w:beforeAutospacing="0" w:afterAutospacing="0"/>
              <w:jc w:val="center"/>
              <w:rPr>
                <w:b/>
                <w:kern w:val="2"/>
              </w:rPr>
            </w:pPr>
            <w:r>
              <w:rPr>
                <w:b/>
                <w:kern w:val="2"/>
              </w:rPr>
              <w:t>产品供给体系</w:t>
            </w:r>
          </w:p>
        </w:tc>
        <w:tc>
          <w:tcPr>
            <w:tcW w:w="334" w:type="pct"/>
            <w:vAlign w:val="center"/>
          </w:tcPr>
          <w:p>
            <w:pPr>
              <w:pStyle w:val="18"/>
              <w:widowControl/>
              <w:snapToGrid w:val="0"/>
              <w:spacing w:beforeAutospacing="0" w:afterAutospacing="0"/>
              <w:jc w:val="center"/>
              <w:rPr>
                <w:kern w:val="2"/>
              </w:rPr>
            </w:pPr>
            <w:r>
              <w:rPr>
                <w:kern w:val="2"/>
              </w:rPr>
              <w:t>14</w:t>
            </w:r>
          </w:p>
        </w:tc>
        <w:tc>
          <w:tcPr>
            <w:tcW w:w="1646" w:type="pct"/>
            <w:vAlign w:val="center"/>
          </w:tcPr>
          <w:p>
            <w:pPr>
              <w:pStyle w:val="18"/>
              <w:widowControl/>
              <w:snapToGrid w:val="0"/>
              <w:spacing w:beforeAutospacing="0" w:afterAutospacing="0"/>
              <w:jc w:val="center"/>
              <w:rPr>
                <w:kern w:val="2"/>
              </w:rPr>
            </w:pPr>
            <w:r>
              <w:t>康养联合体数（个）</w:t>
            </w:r>
          </w:p>
        </w:tc>
        <w:tc>
          <w:tcPr>
            <w:tcW w:w="583" w:type="pct"/>
            <w:vAlign w:val="center"/>
          </w:tcPr>
          <w:p>
            <w:pPr>
              <w:pStyle w:val="18"/>
              <w:widowControl/>
              <w:snapToGrid w:val="0"/>
              <w:spacing w:beforeAutospacing="0" w:afterAutospacing="0"/>
              <w:jc w:val="center"/>
              <w:rPr>
                <w:kern w:val="2"/>
              </w:rPr>
            </w:pPr>
            <w:r>
              <w:rPr>
                <w:kern w:val="2"/>
              </w:rPr>
              <w:t>8</w:t>
            </w:r>
          </w:p>
        </w:tc>
        <w:tc>
          <w:tcPr>
            <w:tcW w:w="472" w:type="pct"/>
            <w:vAlign w:val="center"/>
          </w:tcPr>
          <w:p>
            <w:pPr>
              <w:pStyle w:val="18"/>
              <w:widowControl/>
              <w:snapToGrid w:val="0"/>
              <w:spacing w:beforeAutospacing="0" w:afterAutospacing="0"/>
              <w:jc w:val="center"/>
              <w:rPr>
                <w:kern w:val="2"/>
              </w:rPr>
            </w:pPr>
            <w:r>
              <w:rPr>
                <w:kern w:val="2"/>
              </w:rPr>
              <w:t>100</w:t>
            </w:r>
          </w:p>
        </w:tc>
        <w:tc>
          <w:tcPr>
            <w:tcW w:w="472" w:type="pct"/>
            <w:vAlign w:val="center"/>
          </w:tcPr>
          <w:p>
            <w:pPr>
              <w:pStyle w:val="18"/>
              <w:widowControl/>
              <w:snapToGrid w:val="0"/>
              <w:spacing w:beforeAutospacing="0" w:afterAutospacing="0"/>
              <w:jc w:val="center"/>
              <w:rPr>
                <w:kern w:val="2"/>
              </w:rPr>
            </w:pPr>
            <w:r>
              <w:rPr>
                <w:kern w:val="2"/>
              </w:rPr>
              <w:t>150</w:t>
            </w:r>
          </w:p>
        </w:tc>
        <w:tc>
          <w:tcPr>
            <w:tcW w:w="616" w:type="pct"/>
            <w:vAlign w:val="center"/>
          </w:tcPr>
          <w:p>
            <w:pPr>
              <w:pStyle w:val="18"/>
              <w:widowControl/>
              <w:snapToGrid w:val="0"/>
              <w:spacing w:beforeAutospacing="0" w:afterAutospacing="0"/>
              <w:jc w:val="center"/>
              <w:rPr>
                <w:kern w:val="2"/>
              </w:rPr>
            </w:pPr>
            <w:r>
              <w:rPr>
                <w:kern w:val="2"/>
              </w:rPr>
              <w:t>市民政局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15</w:t>
            </w:r>
          </w:p>
        </w:tc>
        <w:tc>
          <w:tcPr>
            <w:tcW w:w="1646" w:type="pct"/>
            <w:vAlign w:val="center"/>
          </w:tcPr>
          <w:p>
            <w:pPr>
              <w:pStyle w:val="18"/>
              <w:widowControl/>
              <w:snapToGrid w:val="0"/>
              <w:spacing w:beforeAutospacing="0" w:afterAutospacing="0"/>
              <w:jc w:val="center"/>
            </w:pPr>
            <w:r>
              <w:t>康复辅具租售中心覆盖率（%）</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60</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市残联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pPr>
              <w:pStyle w:val="18"/>
              <w:widowControl/>
              <w:snapToGrid w:val="0"/>
              <w:spacing w:beforeAutospacing="0" w:afterAutospacing="0"/>
              <w:jc w:val="center"/>
              <w:rPr>
                <w:b/>
                <w:kern w:val="2"/>
              </w:rPr>
            </w:pPr>
            <w:r>
              <w:rPr>
                <w:b/>
                <w:kern w:val="2"/>
              </w:rPr>
              <w:t>人力资源体系</w:t>
            </w:r>
          </w:p>
        </w:tc>
        <w:tc>
          <w:tcPr>
            <w:tcW w:w="334" w:type="pct"/>
            <w:vAlign w:val="center"/>
          </w:tcPr>
          <w:p>
            <w:pPr>
              <w:pStyle w:val="18"/>
              <w:widowControl/>
              <w:snapToGrid w:val="0"/>
              <w:spacing w:beforeAutospacing="0" w:afterAutospacing="0"/>
              <w:jc w:val="center"/>
              <w:rPr>
                <w:kern w:val="2"/>
              </w:rPr>
            </w:pPr>
            <w:r>
              <w:rPr>
                <w:kern w:val="2"/>
              </w:rPr>
              <w:t>16</w:t>
            </w:r>
          </w:p>
        </w:tc>
        <w:tc>
          <w:tcPr>
            <w:tcW w:w="1646" w:type="pct"/>
            <w:vAlign w:val="center"/>
          </w:tcPr>
          <w:p>
            <w:pPr>
              <w:pStyle w:val="18"/>
              <w:widowControl/>
              <w:snapToGrid w:val="0"/>
              <w:spacing w:beforeAutospacing="0" w:afterAutospacing="0"/>
              <w:jc w:val="center"/>
              <w:rPr>
                <w:kern w:val="2"/>
              </w:rPr>
            </w:pPr>
            <w:r>
              <w:rPr>
                <w:kern w:val="2"/>
              </w:rPr>
              <w:t>总和生育率</w:t>
            </w:r>
          </w:p>
        </w:tc>
        <w:tc>
          <w:tcPr>
            <w:tcW w:w="583" w:type="pct"/>
            <w:vAlign w:val="center"/>
          </w:tcPr>
          <w:p>
            <w:pPr>
              <w:pStyle w:val="18"/>
              <w:widowControl/>
              <w:snapToGrid w:val="0"/>
              <w:spacing w:beforeAutospacing="0" w:afterAutospacing="0"/>
              <w:jc w:val="center"/>
              <w:rPr>
                <w:kern w:val="2"/>
              </w:rPr>
            </w:pPr>
            <w:r>
              <w:rPr>
                <w:color w:val="333333"/>
              </w:rPr>
              <w:t>1.11</w:t>
            </w:r>
          </w:p>
        </w:tc>
        <w:tc>
          <w:tcPr>
            <w:tcW w:w="472" w:type="pct"/>
            <w:vAlign w:val="center"/>
          </w:tcPr>
          <w:p>
            <w:pPr>
              <w:pStyle w:val="18"/>
              <w:widowControl/>
              <w:snapToGrid w:val="0"/>
              <w:spacing w:beforeAutospacing="0" w:afterAutospacing="0"/>
              <w:jc w:val="center"/>
              <w:rPr>
                <w:kern w:val="2"/>
              </w:rPr>
            </w:pPr>
            <w:r>
              <w:rPr>
                <w:color w:val="333333"/>
              </w:rPr>
              <w:t>1.1-1.3</w:t>
            </w:r>
          </w:p>
        </w:tc>
        <w:tc>
          <w:tcPr>
            <w:tcW w:w="472" w:type="pct"/>
            <w:vAlign w:val="center"/>
          </w:tcPr>
          <w:p>
            <w:pPr>
              <w:pStyle w:val="18"/>
              <w:widowControl/>
              <w:snapToGrid w:val="0"/>
              <w:spacing w:beforeAutospacing="0" w:afterAutospacing="0"/>
              <w:jc w:val="center"/>
              <w:rPr>
                <w:kern w:val="2"/>
              </w:rPr>
            </w:pPr>
            <w:r>
              <w:rPr>
                <w:color w:val="333333"/>
              </w:rPr>
              <w:t>1.1-1.3</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17</w:t>
            </w:r>
          </w:p>
        </w:tc>
        <w:tc>
          <w:tcPr>
            <w:tcW w:w="1646" w:type="pct"/>
            <w:vAlign w:val="center"/>
          </w:tcPr>
          <w:p>
            <w:pPr>
              <w:pStyle w:val="18"/>
              <w:widowControl/>
              <w:snapToGrid w:val="0"/>
              <w:spacing w:beforeAutospacing="0" w:afterAutospacing="0"/>
              <w:jc w:val="center"/>
              <w:rPr>
                <w:kern w:val="2"/>
              </w:rPr>
            </w:pPr>
            <w:r>
              <w:rPr>
                <w:kern w:val="2"/>
              </w:rPr>
              <w:t>全员劳动生产率增长（%）</w:t>
            </w:r>
          </w:p>
        </w:tc>
        <w:tc>
          <w:tcPr>
            <w:tcW w:w="583" w:type="pct"/>
            <w:vAlign w:val="center"/>
          </w:tcPr>
          <w:p>
            <w:pPr>
              <w:pStyle w:val="18"/>
              <w:widowControl/>
              <w:snapToGrid w:val="0"/>
              <w:spacing w:beforeAutospacing="0" w:afterAutospacing="0"/>
              <w:jc w:val="center"/>
              <w:rPr>
                <w:kern w:val="2"/>
              </w:rPr>
            </w:pPr>
            <w:r>
              <w:rPr>
                <w:kern w:val="2"/>
              </w:rPr>
              <w:t>3</w:t>
            </w:r>
          </w:p>
        </w:tc>
        <w:tc>
          <w:tcPr>
            <w:tcW w:w="472" w:type="pct"/>
            <w:vAlign w:val="center"/>
          </w:tcPr>
          <w:p>
            <w:pPr>
              <w:pStyle w:val="18"/>
              <w:widowControl/>
              <w:snapToGrid w:val="0"/>
              <w:spacing w:beforeAutospacing="0" w:afterAutospacing="0"/>
              <w:jc w:val="center"/>
              <w:rPr>
                <w:kern w:val="2"/>
              </w:rPr>
            </w:pPr>
            <w:r>
              <w:rPr>
                <w:szCs w:val="21"/>
              </w:rPr>
              <w:t>与经济增长基本同步</w:t>
            </w:r>
          </w:p>
        </w:tc>
        <w:tc>
          <w:tcPr>
            <w:tcW w:w="472" w:type="pct"/>
            <w:vAlign w:val="center"/>
          </w:tcPr>
          <w:p>
            <w:pPr>
              <w:pStyle w:val="18"/>
              <w:widowControl/>
              <w:snapToGrid w:val="0"/>
              <w:spacing w:beforeAutospacing="0" w:afterAutospacing="0"/>
              <w:jc w:val="center"/>
              <w:rPr>
                <w:kern w:val="2"/>
              </w:rPr>
            </w:pPr>
            <w:r>
              <w:rPr>
                <w:szCs w:val="21"/>
              </w:rPr>
              <w:t>与经济增长基本同步</w:t>
            </w:r>
          </w:p>
        </w:tc>
        <w:tc>
          <w:tcPr>
            <w:tcW w:w="616" w:type="pct"/>
            <w:vAlign w:val="center"/>
          </w:tcPr>
          <w:p>
            <w:pPr>
              <w:pStyle w:val="18"/>
              <w:widowControl/>
              <w:snapToGrid w:val="0"/>
              <w:spacing w:beforeAutospacing="0" w:afterAutospacing="0"/>
              <w:jc w:val="center"/>
              <w:rPr>
                <w:kern w:val="2"/>
              </w:rPr>
            </w:pPr>
            <w:r>
              <w:rPr>
                <w:kern w:val="2"/>
              </w:rPr>
              <w:t>市统计局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b/>
                <w:kern w:val="2"/>
              </w:rPr>
            </w:pPr>
          </w:p>
        </w:tc>
        <w:tc>
          <w:tcPr>
            <w:tcW w:w="334" w:type="pct"/>
            <w:vAlign w:val="center"/>
          </w:tcPr>
          <w:p>
            <w:pPr>
              <w:pStyle w:val="18"/>
              <w:widowControl/>
              <w:snapToGrid w:val="0"/>
              <w:spacing w:beforeAutospacing="0" w:afterAutospacing="0"/>
              <w:jc w:val="center"/>
              <w:rPr>
                <w:kern w:val="2"/>
              </w:rPr>
            </w:pPr>
            <w:r>
              <w:rPr>
                <w:kern w:val="2"/>
              </w:rPr>
              <w:t>18</w:t>
            </w:r>
          </w:p>
        </w:tc>
        <w:tc>
          <w:tcPr>
            <w:tcW w:w="1646" w:type="pct"/>
            <w:vAlign w:val="center"/>
          </w:tcPr>
          <w:p>
            <w:pPr>
              <w:pStyle w:val="18"/>
              <w:widowControl/>
              <w:snapToGrid w:val="0"/>
              <w:spacing w:beforeAutospacing="0" w:afterAutospacing="0"/>
              <w:jc w:val="center"/>
              <w:rPr>
                <w:kern w:val="2"/>
              </w:rPr>
            </w:pPr>
            <w:r>
              <w:rPr>
                <w:kern w:val="2"/>
              </w:rPr>
              <w:t>经常性参加教育活动的老年人占比（%）</w:t>
            </w:r>
          </w:p>
        </w:tc>
        <w:tc>
          <w:tcPr>
            <w:tcW w:w="583" w:type="pct"/>
            <w:vAlign w:val="center"/>
          </w:tcPr>
          <w:p>
            <w:pPr>
              <w:pStyle w:val="18"/>
              <w:widowControl/>
              <w:snapToGrid w:val="0"/>
              <w:spacing w:beforeAutospacing="0" w:afterAutospacing="0"/>
              <w:jc w:val="center"/>
              <w:rPr>
                <w:kern w:val="2"/>
              </w:rPr>
            </w:pPr>
            <w:r>
              <w:rPr>
                <w:kern w:val="2"/>
              </w:rPr>
              <w:t>20.6</w:t>
            </w:r>
          </w:p>
        </w:tc>
        <w:tc>
          <w:tcPr>
            <w:tcW w:w="472" w:type="pct"/>
            <w:vAlign w:val="center"/>
          </w:tcPr>
          <w:p>
            <w:pPr>
              <w:pStyle w:val="18"/>
              <w:widowControl/>
              <w:snapToGrid w:val="0"/>
              <w:spacing w:beforeAutospacing="0" w:afterAutospacing="0"/>
              <w:jc w:val="center"/>
              <w:rPr>
                <w:kern w:val="2"/>
              </w:rPr>
            </w:pPr>
            <w:r>
              <w:rPr>
                <w:kern w:val="2"/>
              </w:rPr>
              <w:t>23</w:t>
            </w:r>
          </w:p>
        </w:tc>
        <w:tc>
          <w:tcPr>
            <w:tcW w:w="472" w:type="pct"/>
            <w:vAlign w:val="center"/>
          </w:tcPr>
          <w:p>
            <w:pPr>
              <w:pStyle w:val="18"/>
              <w:widowControl/>
              <w:snapToGrid w:val="0"/>
              <w:spacing w:beforeAutospacing="0" w:afterAutospacing="0"/>
              <w:jc w:val="center"/>
              <w:rPr>
                <w:kern w:val="2"/>
              </w:rPr>
            </w:pPr>
            <w:r>
              <w:rPr>
                <w:kern w:val="2"/>
              </w:rPr>
              <w:t>26</w:t>
            </w:r>
          </w:p>
        </w:tc>
        <w:tc>
          <w:tcPr>
            <w:tcW w:w="616" w:type="pct"/>
            <w:vAlign w:val="center"/>
          </w:tcPr>
          <w:p>
            <w:pPr>
              <w:pStyle w:val="18"/>
              <w:widowControl/>
              <w:snapToGrid w:val="0"/>
              <w:spacing w:beforeAutospacing="0" w:afterAutospacing="0"/>
              <w:jc w:val="center"/>
              <w:rPr>
                <w:kern w:val="2"/>
              </w:rPr>
            </w:pPr>
            <w:r>
              <w:rPr>
                <w:kern w:val="2"/>
              </w:rPr>
              <w:t>市教育局</w:t>
            </w:r>
          </w:p>
        </w:tc>
        <w:tc>
          <w:tcPr>
            <w:tcW w:w="467" w:type="pct"/>
            <w:vAlign w:val="center"/>
          </w:tcPr>
          <w:p>
            <w:pPr>
              <w:pStyle w:val="18"/>
              <w:widowControl/>
              <w:snapToGrid w:val="0"/>
              <w:spacing w:beforeAutospacing="0" w:afterAutospacing="0"/>
              <w:jc w:val="center"/>
              <w:rPr>
                <w:kern w:val="2"/>
              </w:rPr>
            </w:pPr>
            <w:r>
              <w:rPr>
                <w:kern w:val="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pPr>
              <w:pStyle w:val="18"/>
              <w:widowControl/>
              <w:snapToGrid w:val="0"/>
              <w:spacing w:beforeAutospacing="0" w:afterAutospacing="0"/>
              <w:jc w:val="center"/>
              <w:rPr>
                <w:b/>
                <w:kern w:val="2"/>
              </w:rPr>
            </w:pPr>
            <w:r>
              <w:rPr>
                <w:b/>
                <w:kern w:val="2"/>
              </w:rPr>
              <w:t>社会环境体系</w:t>
            </w:r>
          </w:p>
        </w:tc>
        <w:tc>
          <w:tcPr>
            <w:tcW w:w="334" w:type="pct"/>
            <w:vAlign w:val="center"/>
          </w:tcPr>
          <w:p>
            <w:pPr>
              <w:pStyle w:val="18"/>
              <w:widowControl/>
              <w:snapToGrid w:val="0"/>
              <w:spacing w:beforeAutospacing="0" w:afterAutospacing="0"/>
              <w:jc w:val="center"/>
              <w:rPr>
                <w:kern w:val="2"/>
              </w:rPr>
            </w:pPr>
            <w:r>
              <w:rPr>
                <w:kern w:val="2"/>
              </w:rPr>
              <w:t>19</w:t>
            </w:r>
          </w:p>
        </w:tc>
        <w:tc>
          <w:tcPr>
            <w:tcW w:w="1646" w:type="pct"/>
            <w:vAlign w:val="center"/>
          </w:tcPr>
          <w:p>
            <w:pPr>
              <w:pStyle w:val="18"/>
              <w:widowControl/>
              <w:snapToGrid w:val="0"/>
              <w:spacing w:beforeAutospacing="0" w:afterAutospacing="0"/>
              <w:jc w:val="center"/>
              <w:rPr>
                <w:kern w:val="2"/>
              </w:rPr>
            </w:pPr>
            <w:r>
              <w:rPr>
                <w:kern w:val="2"/>
              </w:rPr>
              <w:t>城乡老年友好型社区覆盖率（%）</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逐步建立</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kern w:val="2"/>
              </w:rPr>
            </w:pPr>
          </w:p>
        </w:tc>
        <w:tc>
          <w:tcPr>
            <w:tcW w:w="334" w:type="pct"/>
            <w:vAlign w:val="center"/>
          </w:tcPr>
          <w:p>
            <w:pPr>
              <w:pStyle w:val="18"/>
              <w:widowControl/>
              <w:snapToGrid w:val="0"/>
              <w:spacing w:beforeAutospacing="0" w:afterAutospacing="0"/>
              <w:jc w:val="center"/>
              <w:rPr>
                <w:kern w:val="2"/>
              </w:rPr>
            </w:pPr>
            <w:r>
              <w:rPr>
                <w:kern w:val="2"/>
              </w:rPr>
              <w:t>20</w:t>
            </w:r>
          </w:p>
        </w:tc>
        <w:tc>
          <w:tcPr>
            <w:tcW w:w="1646" w:type="pct"/>
            <w:vAlign w:val="center"/>
          </w:tcPr>
          <w:p>
            <w:pPr>
              <w:pStyle w:val="18"/>
              <w:widowControl/>
              <w:snapToGrid w:val="0"/>
              <w:spacing w:beforeAutospacing="0" w:afterAutospacing="0"/>
              <w:jc w:val="center"/>
              <w:rPr>
                <w:kern w:val="2"/>
              </w:rPr>
            </w:pPr>
            <w:r>
              <w:rPr>
                <w:kern w:val="2"/>
              </w:rPr>
              <w:t>各地新建城区、新建居住（小）区配套建设养老服务设施覆盖率（%）</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100</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市自然资源局</w:t>
            </w:r>
          </w:p>
        </w:tc>
        <w:tc>
          <w:tcPr>
            <w:tcW w:w="467" w:type="pct"/>
            <w:vAlign w:val="center"/>
          </w:tcPr>
          <w:p>
            <w:pPr>
              <w:pStyle w:val="18"/>
              <w:widowControl/>
              <w:snapToGrid w:val="0"/>
              <w:spacing w:beforeAutospacing="0" w:afterAutospacing="0"/>
              <w:jc w:val="center"/>
              <w:rPr>
                <w:kern w:val="2"/>
              </w:rPr>
            </w:pPr>
            <w:r>
              <w:rPr>
                <w:kern w:val="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pPr>
              <w:pStyle w:val="18"/>
              <w:widowControl/>
              <w:snapToGrid w:val="0"/>
              <w:spacing w:beforeAutospacing="0" w:afterAutospacing="0"/>
              <w:jc w:val="center"/>
              <w:rPr>
                <w:kern w:val="2"/>
              </w:rPr>
            </w:pPr>
          </w:p>
        </w:tc>
        <w:tc>
          <w:tcPr>
            <w:tcW w:w="334" w:type="pct"/>
            <w:vAlign w:val="center"/>
          </w:tcPr>
          <w:p>
            <w:pPr>
              <w:pStyle w:val="18"/>
              <w:widowControl/>
              <w:snapToGrid w:val="0"/>
              <w:spacing w:beforeAutospacing="0" w:afterAutospacing="0"/>
              <w:jc w:val="center"/>
              <w:rPr>
                <w:kern w:val="2"/>
              </w:rPr>
            </w:pPr>
            <w:r>
              <w:rPr>
                <w:kern w:val="2"/>
              </w:rPr>
              <w:t>21</w:t>
            </w:r>
          </w:p>
        </w:tc>
        <w:tc>
          <w:tcPr>
            <w:tcW w:w="1646" w:type="pct"/>
            <w:vAlign w:val="center"/>
          </w:tcPr>
          <w:p>
            <w:pPr>
              <w:pStyle w:val="18"/>
              <w:widowControl/>
              <w:snapToGrid w:val="0"/>
              <w:spacing w:beforeAutospacing="0" w:afterAutospacing="0"/>
              <w:jc w:val="center"/>
              <w:rPr>
                <w:kern w:val="2"/>
              </w:rPr>
            </w:pPr>
            <w:r>
              <w:rPr>
                <w:kern w:val="2"/>
              </w:rPr>
              <w:t>开展“敬老月”活动的县（市、区）覆盖率（%）</w:t>
            </w:r>
          </w:p>
        </w:tc>
        <w:tc>
          <w:tcPr>
            <w:tcW w:w="583" w:type="pct"/>
            <w:vAlign w:val="center"/>
          </w:tcPr>
          <w:p>
            <w:pPr>
              <w:pStyle w:val="18"/>
              <w:widowControl/>
              <w:snapToGrid w:val="0"/>
              <w:spacing w:beforeAutospacing="0" w:afterAutospacing="0"/>
              <w:jc w:val="center"/>
              <w:rPr>
                <w:kern w:val="2"/>
              </w:rPr>
            </w:pPr>
            <w:r>
              <w:rPr>
                <w:kern w:val="2"/>
              </w:rPr>
              <w:t>-</w:t>
            </w:r>
          </w:p>
        </w:tc>
        <w:tc>
          <w:tcPr>
            <w:tcW w:w="472" w:type="pct"/>
            <w:vAlign w:val="center"/>
          </w:tcPr>
          <w:p>
            <w:pPr>
              <w:pStyle w:val="18"/>
              <w:widowControl/>
              <w:snapToGrid w:val="0"/>
              <w:spacing w:beforeAutospacing="0" w:afterAutospacing="0"/>
              <w:jc w:val="center"/>
              <w:rPr>
                <w:kern w:val="2"/>
              </w:rPr>
            </w:pPr>
            <w:r>
              <w:rPr>
                <w:kern w:val="2"/>
              </w:rPr>
              <w:t>100</w:t>
            </w:r>
          </w:p>
        </w:tc>
        <w:tc>
          <w:tcPr>
            <w:tcW w:w="472" w:type="pct"/>
            <w:vAlign w:val="center"/>
          </w:tcPr>
          <w:p>
            <w:pPr>
              <w:pStyle w:val="18"/>
              <w:widowControl/>
              <w:snapToGrid w:val="0"/>
              <w:spacing w:beforeAutospacing="0" w:afterAutospacing="0"/>
              <w:jc w:val="center"/>
              <w:rPr>
                <w:kern w:val="2"/>
              </w:rPr>
            </w:pPr>
            <w:r>
              <w:rPr>
                <w:kern w:val="2"/>
              </w:rPr>
              <w:t>100</w:t>
            </w:r>
          </w:p>
        </w:tc>
        <w:tc>
          <w:tcPr>
            <w:tcW w:w="616" w:type="pct"/>
            <w:vAlign w:val="center"/>
          </w:tcPr>
          <w:p>
            <w:pPr>
              <w:pStyle w:val="18"/>
              <w:widowControl/>
              <w:snapToGrid w:val="0"/>
              <w:spacing w:beforeAutospacing="0" w:afterAutospacing="0"/>
              <w:jc w:val="center"/>
              <w:rPr>
                <w:kern w:val="2"/>
              </w:rPr>
            </w:pPr>
            <w:r>
              <w:rPr>
                <w:kern w:val="2"/>
              </w:rPr>
              <w:t>市卫健委</w:t>
            </w:r>
          </w:p>
        </w:tc>
        <w:tc>
          <w:tcPr>
            <w:tcW w:w="467" w:type="pct"/>
            <w:vAlign w:val="center"/>
          </w:tcPr>
          <w:p>
            <w:pPr>
              <w:pStyle w:val="18"/>
              <w:widowControl/>
              <w:snapToGrid w:val="0"/>
              <w:spacing w:beforeAutospacing="0" w:afterAutospacing="0"/>
              <w:jc w:val="center"/>
              <w:rPr>
                <w:kern w:val="2"/>
              </w:rPr>
            </w:pPr>
            <w:r>
              <w:rPr>
                <w:kern w:val="2"/>
              </w:rPr>
              <w:t>约束性</w:t>
            </w:r>
          </w:p>
        </w:tc>
      </w:tr>
    </w:tbl>
    <w:p>
      <w:pPr>
        <w:pStyle w:val="3"/>
        <w:spacing w:before="0" w:after="0" w:line="592" w:lineRule="exact"/>
        <w:ind w:firstLine="640" w:firstLineChars="200"/>
        <w:jc w:val="both"/>
        <w:rPr>
          <w:rFonts w:eastAsia="黑体" w:cs="Times New Roman"/>
          <w:sz w:val="32"/>
          <w:szCs w:val="32"/>
        </w:rPr>
      </w:pPr>
      <w:bookmarkStart w:id="151" w:name="_Toc31683"/>
      <w:bookmarkStart w:id="152" w:name="_Toc9312"/>
      <w:bookmarkStart w:id="153" w:name="_Toc30261"/>
      <w:bookmarkStart w:id="154" w:name="_Toc15715"/>
      <w:bookmarkStart w:id="155" w:name="_Toc83561890"/>
      <w:bookmarkStart w:id="156" w:name="_Toc27999"/>
      <w:bookmarkStart w:id="157" w:name="_Toc9520"/>
      <w:bookmarkStart w:id="158" w:name="_Toc30484"/>
      <w:bookmarkStart w:id="159" w:name="_Toc5572"/>
      <w:bookmarkStart w:id="160" w:name="_Toc3764"/>
      <w:bookmarkStart w:id="161" w:name="_Toc10370"/>
      <w:bookmarkStart w:id="162" w:name="_Toc29118"/>
      <w:bookmarkStart w:id="163" w:name="_Toc31817"/>
      <w:bookmarkStart w:id="164" w:name="_Toc6823"/>
      <w:bookmarkStart w:id="165" w:name="_Toc4055"/>
      <w:bookmarkStart w:id="166" w:name="_Toc19347"/>
      <w:bookmarkStart w:id="167" w:name="_Toc12013"/>
      <w:bookmarkStart w:id="168" w:name="_Toc84690001"/>
      <w:r>
        <w:rPr>
          <w:rFonts w:eastAsia="黑体" w:cs="Times New Roman"/>
          <w:sz w:val="32"/>
          <w:szCs w:val="32"/>
        </w:rPr>
        <w:t>三、主要任务</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pPr>
        <w:pStyle w:val="4"/>
        <w:spacing w:line="580" w:lineRule="exact"/>
        <w:ind w:firstLine="642" w:firstLineChars="200"/>
        <w:rPr>
          <w:rFonts w:eastAsia="楷体_GB2312" w:cs="Times New Roman"/>
          <w:b/>
        </w:rPr>
      </w:pPr>
      <w:bookmarkStart w:id="169" w:name="_Toc23800"/>
      <w:bookmarkStart w:id="170" w:name="_Toc8083"/>
      <w:bookmarkStart w:id="171" w:name="_Toc18042"/>
      <w:bookmarkStart w:id="172" w:name="_Toc8691"/>
      <w:bookmarkStart w:id="173" w:name="_Toc11178"/>
      <w:bookmarkStart w:id="174" w:name="_Toc10875"/>
      <w:bookmarkStart w:id="175" w:name="_Toc1474"/>
      <w:bookmarkStart w:id="176" w:name="_Toc7261"/>
      <w:bookmarkStart w:id="177" w:name="_Toc30991"/>
      <w:bookmarkStart w:id="178" w:name="_Toc23662"/>
      <w:bookmarkStart w:id="179" w:name="_Toc9143"/>
      <w:bookmarkStart w:id="180" w:name="_Toc83561891"/>
      <w:bookmarkStart w:id="181" w:name="_Toc19673"/>
      <w:bookmarkStart w:id="182" w:name="_Toc84690002"/>
      <w:bookmarkStart w:id="183" w:name="_Toc9663"/>
      <w:bookmarkStart w:id="184" w:name="_Toc260"/>
      <w:bookmarkStart w:id="185" w:name="_Toc104"/>
      <w:r>
        <w:rPr>
          <w:rFonts w:eastAsia="楷体_GB2312" w:cs="Times New Roman"/>
          <w:b/>
        </w:rPr>
        <w:t>（一）着力构建多层次社会保障体系</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pPr>
        <w:pStyle w:val="2"/>
        <w:numPr>
          <w:ilvl w:val="0"/>
          <w:numId w:val="0"/>
        </w:numPr>
        <w:spacing w:line="580" w:lineRule="exact"/>
        <w:ind w:firstLine="642" w:firstLineChars="200"/>
        <w:rPr>
          <w:rFonts w:cs="Times New Roman"/>
          <w:bCs/>
          <w:szCs w:val="32"/>
        </w:rPr>
      </w:pPr>
      <w:r>
        <w:rPr>
          <w:rFonts w:cs="Times New Roman"/>
          <w:b/>
          <w:bCs/>
        </w:rPr>
        <w:t>健全稳步增长的财富储备制度。</w:t>
      </w:r>
      <w:r>
        <w:rPr>
          <w:rFonts w:cs="Times New Roman"/>
          <w:szCs w:val="32"/>
        </w:rPr>
        <w:t>实施新型农业经营主体提升工程、万户农家旅游致富计划，促进城乡居民收入持续快速增长。实施中等收入群体规模倍增计划，激发技能人才、小微创业者、农创客等群体增收创造力，推动更多劳动者通过创业创新跨入中等收入群体行列，不断扩大家庭年可支配收入10-50万元和20-60万元的群体比例。深入实施就业优先战略，推动产业政策与就业政策协同联动，大力提升劳动者职业技能，实现更加充分更高质量就业。加快建立创新要素分配机制，探索知识、技术、管理、数据等要素价值的实现形式。支持发展财富管理行业，引育财富管理中心、资产管理公司等综合金融服务机构。</w:t>
      </w:r>
    </w:p>
    <w:p>
      <w:pPr>
        <w:pStyle w:val="2"/>
        <w:numPr>
          <w:ilvl w:val="0"/>
          <w:numId w:val="0"/>
        </w:numPr>
        <w:spacing w:line="580" w:lineRule="exact"/>
        <w:ind w:firstLine="642" w:firstLineChars="200"/>
        <w:rPr>
          <w:rFonts w:cs="Times New Roman"/>
          <w:szCs w:val="32"/>
        </w:rPr>
      </w:pPr>
      <w:r>
        <w:rPr>
          <w:rFonts w:cs="Times New Roman"/>
          <w:b/>
          <w:bCs/>
          <w:szCs w:val="32"/>
        </w:rPr>
        <w:t>健全多层次养老保障制度。</w:t>
      </w:r>
      <w:r>
        <w:rPr>
          <w:rFonts w:cs="Times New Roman"/>
          <w:bCs/>
          <w:szCs w:val="32"/>
        </w:rPr>
        <w:t>推进养老保险精准扩面，城乡居民养老保险基本实现适龄参保人员应保尽保，逐步将灵活就业人员、农业转移人员、新业态从业人员等群体按规定纳入职工养老保险体系。完善待遇调整机制，实行鼓励多缴费、长缴费的激励机制，大幅增加对低收入群体缴费补助，持续提高城乡居民基本养老金水平。完善机关事业单位养老保险制度政策，</w:t>
      </w:r>
      <w:r>
        <w:rPr>
          <w:rFonts w:cs="Times New Roman"/>
          <w:szCs w:val="32"/>
        </w:rPr>
        <w:t>持续拓宽职业年金、企业年金覆盖面。支持发展个人储蓄型养老保险、商业养老保险等第三支柱养老保险。</w:t>
      </w:r>
    </w:p>
    <w:p>
      <w:pPr>
        <w:pStyle w:val="2"/>
        <w:numPr>
          <w:ilvl w:val="0"/>
          <w:numId w:val="0"/>
        </w:numPr>
        <w:spacing w:line="580" w:lineRule="exact"/>
        <w:ind w:firstLine="642" w:firstLineChars="200"/>
        <w:rPr>
          <w:rFonts w:cs="Times New Roman"/>
          <w:bCs/>
          <w:szCs w:val="32"/>
        </w:rPr>
      </w:pPr>
      <w:r>
        <w:rPr>
          <w:rFonts w:cs="Times New Roman"/>
          <w:b/>
          <w:bCs/>
          <w:szCs w:val="32"/>
        </w:rPr>
        <w:t>健全多层次医疗保障制度。</w:t>
      </w:r>
      <w:r>
        <w:rPr>
          <w:rFonts w:cs="Times New Roman"/>
          <w:bCs/>
          <w:szCs w:val="32"/>
        </w:rPr>
        <w:t>全面做实基本医疗保险基金市级统筹，提高基本医疗保险区域共济能力，促进医疗保障区域公平。完善职工基本医疗保险和城乡居民基本医疗保险制度，巩固扩大异地就医结算范围，稳步提高医疗保障水平。健全重特大疾病医疗保障和救助制度，完善大病保险筹资机制，提高城乡居民慢性病保障水平。完善老年医疗保障服务，不断优化医保经办线上线下适老化服务渠道。支持商业健康保险发展，加快发展“浙丽保”等商业补充医疗保险，推进区域化健康保险产品定制和服务创新。深入推进老年人意外伤害保险，扩大保险覆盖面。探索建立长期护理保险制度，按照国家总体部署和省级要求稳步推进长期护理保险相关工作。加快推动公立医院高质量发展，争创公立医院综合改革国家级示范市。</w:t>
      </w:r>
    </w:p>
    <w:p>
      <w:pPr>
        <w:pStyle w:val="2"/>
        <w:numPr>
          <w:ilvl w:val="0"/>
          <w:numId w:val="0"/>
        </w:numPr>
        <w:spacing w:line="580" w:lineRule="exact"/>
        <w:ind w:firstLine="642" w:firstLineChars="200"/>
        <w:rPr>
          <w:rFonts w:cs="Times New Roman"/>
          <w:szCs w:val="32"/>
        </w:rPr>
      </w:pPr>
      <w:r>
        <w:rPr>
          <w:rFonts w:cs="Times New Roman"/>
          <w:b/>
          <w:bCs/>
          <w:szCs w:val="32"/>
        </w:rPr>
        <w:t>健全社会福利和社会救助制度。</w:t>
      </w:r>
      <w:r>
        <w:rPr>
          <w:rFonts w:cs="Times New Roman"/>
          <w:szCs w:val="32"/>
        </w:rPr>
        <w:t>深化完善针对经济困难的高龄、失能老年的补贴制度，提升发放精准性。促进政府购买养老服务与满足老年人基本养老服务需求相结合，丰富老年人照顾项目，创新和优化照顾服务提供方式，优先保障经济困难的孤寡、失能、高龄和计划生育特殊困难家庭中老年人的服务需求。到2025年，生活不能自理的特困老年人集中供养率达到95%。充分发挥社会救助基金会作用，统筹使用福利彩票公益金和各级政府用于社会福利事业的彩票公益金，引导社会力量参与救助。鼓励面向老年人的慈善公益活动开展。</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vAlign w:val="center"/>
          </w:tcPr>
          <w:p>
            <w:pPr>
              <w:jc w:val="center"/>
              <w:rPr>
                <w:rFonts w:cs="Times New Roman"/>
                <w:sz w:val="24"/>
              </w:rPr>
            </w:pPr>
            <w:r>
              <w:rPr>
                <w:rFonts w:eastAsia="黑体" w:cs="Times New Roman"/>
                <w:bCs/>
                <w:sz w:val="24"/>
              </w:rPr>
              <w:t>专栏1 多层次养老保障体系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vAlign w:val="center"/>
          </w:tcPr>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1.财富保障。</w:t>
            </w:r>
            <w:r>
              <w:rPr>
                <w:rFonts w:ascii="Times New Roman" w:hAnsi="Times New Roman" w:eastAsia="仿宋_GB2312"/>
                <w:sz w:val="24"/>
                <w:szCs w:val="24"/>
              </w:rPr>
              <w:t>鼓励家庭优化储蓄、保险、投资等资产配置，做好个人养老储备规划，实现生活质量在生命周期中基本平稳。</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2.养老保障。</w:t>
            </w:r>
            <w:r>
              <w:rPr>
                <w:rFonts w:ascii="Times New Roman" w:hAnsi="Times New Roman" w:eastAsia="仿宋_GB2312"/>
                <w:sz w:val="24"/>
                <w:szCs w:val="24"/>
              </w:rPr>
              <w:t>建立健全覆盖全面、城乡统筹、保障适度、可持续的多层次养老保障体系。</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3.医疗保障。</w:t>
            </w:r>
            <w:r>
              <w:rPr>
                <w:rFonts w:ascii="Times New Roman" w:hAnsi="Times New Roman" w:eastAsia="仿宋_GB2312"/>
                <w:sz w:val="24"/>
                <w:szCs w:val="24"/>
              </w:rPr>
              <w:t>建立健全以基本医疗保险为主体，医疗救助为托底，补充医疗保险、商业健康保险、慈善捐赠、医疗互助共同发展的多层次医疗保障体系。</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4.社会保障。</w:t>
            </w:r>
            <w:r>
              <w:rPr>
                <w:rFonts w:ascii="Times New Roman" w:hAnsi="Times New Roman" w:eastAsia="仿宋_GB2312"/>
                <w:sz w:val="24"/>
                <w:szCs w:val="24"/>
              </w:rPr>
              <w:t>充分发挥社会救助的“兜底线”作用，加大对符合条件的经济困难的高龄、独居、失能、重点优抚对象、计划生育特殊困难家庭中老年人的救助力度。</w:t>
            </w:r>
          </w:p>
        </w:tc>
      </w:tr>
    </w:tbl>
    <w:p>
      <w:pPr>
        <w:pStyle w:val="4"/>
        <w:spacing w:line="580" w:lineRule="exact"/>
        <w:ind w:firstLine="642" w:firstLineChars="200"/>
        <w:rPr>
          <w:rFonts w:eastAsia="楷体_GB2312" w:cs="Times New Roman"/>
          <w:b/>
        </w:rPr>
      </w:pPr>
      <w:bookmarkStart w:id="186" w:name="_Toc27881"/>
      <w:bookmarkStart w:id="187" w:name="_Toc15478"/>
      <w:bookmarkStart w:id="188" w:name="_Toc19578"/>
      <w:bookmarkStart w:id="189" w:name="_Toc4200"/>
      <w:bookmarkStart w:id="190" w:name="_Toc27609"/>
      <w:bookmarkStart w:id="191" w:name="_Toc13307"/>
      <w:bookmarkStart w:id="192" w:name="_Toc10081"/>
      <w:bookmarkStart w:id="193" w:name="_Toc83561892"/>
      <w:bookmarkStart w:id="194" w:name="_Toc29835"/>
      <w:bookmarkStart w:id="195" w:name="_Toc31173"/>
      <w:bookmarkStart w:id="196" w:name="_Toc84690003"/>
      <w:bookmarkStart w:id="197" w:name="_Toc1311"/>
      <w:bookmarkStart w:id="198" w:name="_Toc29822"/>
      <w:bookmarkStart w:id="199" w:name="_Toc28651"/>
      <w:bookmarkStart w:id="200" w:name="_Toc24552"/>
      <w:bookmarkStart w:id="201" w:name="_Toc17812"/>
      <w:bookmarkStart w:id="202" w:name="_Toc21830"/>
      <w:bookmarkStart w:id="203" w:name="_Toc6023"/>
      <w:r>
        <w:rPr>
          <w:rFonts w:eastAsia="楷体_GB2312" w:cs="Times New Roman"/>
          <w:b/>
        </w:rPr>
        <w:t>（二）着力构建高质量养老服务体系</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pPr>
        <w:spacing w:line="580" w:lineRule="exact"/>
        <w:ind w:firstLine="642" w:firstLineChars="200"/>
        <w:rPr>
          <w:rFonts w:cs="Times New Roman"/>
          <w:szCs w:val="32"/>
        </w:rPr>
      </w:pPr>
      <w:bookmarkStart w:id="204" w:name="_Toc8043_WPSOffice_Level3"/>
      <w:r>
        <w:rPr>
          <w:rFonts w:cs="Times New Roman"/>
          <w:b/>
          <w:bCs/>
          <w:szCs w:val="32"/>
        </w:rPr>
        <w:t>分层分类优化养老机构布局。</w:t>
      </w:r>
      <w:r>
        <w:rPr>
          <w:rFonts w:cs="Times New Roman"/>
          <w:szCs w:val="32"/>
        </w:rPr>
        <w:t>加快构建城乡区域相协调、居家社区机构相协调的养老服务网络，做到“机构跟着老人走，让服务触手可及”。采取“闲置房产改建、规划用地新建、出让（安置）地块配建”等方式，突出社区嵌入式小型养老护理机构建设，让养老院成为住宅小区的标配，让老年人离家不离社区，就近享受便捷专业的养老服务。农村地区突出敬老院改造提升，转型为区域性综合养老服务中心，在实现特困人员兜底保障的基础上，面向社会老人提供服务，补齐农村养老设施短板。到2025年，所有敬老院均达到国家养老院二级以上标准。</w:t>
      </w:r>
    </w:p>
    <w:p>
      <w:pPr>
        <w:spacing w:line="580" w:lineRule="exact"/>
        <w:ind w:firstLine="642" w:firstLineChars="200"/>
        <w:rPr>
          <w:rFonts w:cs="Times New Roman"/>
          <w:b/>
          <w:bCs/>
          <w:szCs w:val="32"/>
          <w:shd w:val="clear" w:color="auto" w:fill="FFFFFF"/>
        </w:rPr>
      </w:pPr>
      <w:r>
        <w:rPr>
          <w:rFonts w:cs="Times New Roman"/>
          <w:b/>
          <w:bCs/>
          <w:szCs w:val="32"/>
          <w:shd w:val="clear" w:color="auto" w:fill="FFFFFF"/>
        </w:rPr>
        <w:t>推进机构养老服务提质增效。</w:t>
      </w:r>
      <w:r>
        <w:rPr>
          <w:rFonts w:cs="Times New Roman"/>
          <w:szCs w:val="32"/>
        </w:rPr>
        <w:t>坚持公办养老机构兜底保障核心功能，在满足特困人员集中供养需求前提下，优先保障经济困难的孤寡、失能、高龄、计划生育特殊家庭等老年人的服务需求。鼓励有条件的党政机关和国有企事业单位举办的培训中心、疗养院及其他具有教育培训或疗休养功能的各类机构整合改造为养老服务设施。聚焦失能失智和高龄老年人长期照护需求，优化床位功能结构，提升护理型床位和认知障碍照护床位占比，到2025年养老机构护理型床位占比达到58%，每万名老年人配有20张认知障碍床位。</w:t>
      </w:r>
    </w:p>
    <w:p>
      <w:pPr>
        <w:spacing w:line="580" w:lineRule="exact"/>
        <w:ind w:firstLine="642" w:firstLineChars="200"/>
        <w:rPr>
          <w:rFonts w:cs="Times New Roman"/>
          <w:szCs w:val="32"/>
          <w:shd w:val="clear" w:color="auto" w:fill="FFFFFF"/>
        </w:rPr>
      </w:pPr>
      <w:r>
        <w:rPr>
          <w:rFonts w:cs="Times New Roman"/>
          <w:b/>
          <w:bCs/>
          <w:szCs w:val="32"/>
          <w:shd w:val="clear" w:color="auto" w:fill="FFFFFF"/>
        </w:rPr>
        <w:t>推进居家社区养老服务融合发展。</w:t>
      </w:r>
      <w:bookmarkEnd w:id="204"/>
      <w:r>
        <w:rPr>
          <w:rFonts w:cs="Times New Roman"/>
          <w:szCs w:val="32"/>
          <w:shd w:val="clear" w:color="auto" w:fill="FFFFFF"/>
        </w:rPr>
        <w:t>充分发挥乡镇（街道）养老服务中心综合服务和统筹指导功能，大力发展助餐、助浴、助急、助医、助行、助洁等服务。创新乡镇（街道）养老服务中心长效运行机制，依托专业机构连锁运营，实现社区和居家养老“管家式对接、专业化服务、可及性供给”，实现乡镇（街道）居家养老服务中心全覆盖。建立完善居家社区探访制度，重点关注高龄、空巢、独居、失能、失智、重残和计划生育特殊家庭、重点优抚对象等老年群体。推进社区“虚拟养老院”建设，探索发展“物业服务+居家养老”。支持家庭承担养老功能，推进志愿关爱服务、家庭照护者培训、辅具推广服务、“喘息服务”“时间银行”“幸福食堂”等项目。</w:t>
      </w:r>
    </w:p>
    <w:p>
      <w:pPr>
        <w:pStyle w:val="19"/>
        <w:spacing w:after="0" w:line="580" w:lineRule="exact"/>
        <w:ind w:left="0" w:leftChars="0" w:firstLine="642" w:firstLineChars="200"/>
        <w:rPr>
          <w:szCs w:val="32"/>
          <w:shd w:val="clear" w:color="auto" w:fill="FFFFFF"/>
        </w:rPr>
      </w:pPr>
      <w:r>
        <w:rPr>
          <w:b/>
          <w:bCs/>
          <w:szCs w:val="32"/>
          <w:shd w:val="clear" w:color="auto" w:fill="FFFFFF"/>
        </w:rPr>
        <w:t>促进农村养老服务提质升级。</w:t>
      </w:r>
      <w:r>
        <w:rPr>
          <w:szCs w:val="32"/>
          <w:shd w:val="clear" w:color="auto" w:fill="FFFFFF"/>
        </w:rPr>
        <w:t>以促进城乡基本养老服务均等化为着力点，推动将农村养老服务设施建设作为乡村振兴战略重要内容，主动融入以人为核心的新型城镇化进程。以农村互助性养老为基础，大力发展银龄互助、邻里互助、亲友互助、志愿服务等模式，探索建立村民利用自有闲置房产开展养老服务等适合当地群众需求的各种互助养老模式。发挥基层党建引领作用，打造农村社区养老服务平台或居家养老服务点，保障农村老年人生活有人管、服务有场所、互助有组织。培育为老服务组织，支持以集体经济支持、社会捐赠、子女缴纳等方式设立养老基金、孝德基金，缓解农村老年人生活困难和养老问题。</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vAlign w:val="center"/>
          </w:tcPr>
          <w:p>
            <w:pPr>
              <w:jc w:val="center"/>
              <w:rPr>
                <w:rFonts w:cs="Times New Roman"/>
                <w:sz w:val="24"/>
              </w:rPr>
            </w:pPr>
            <w:r>
              <w:rPr>
                <w:rFonts w:eastAsia="黑体" w:cs="Times New Roman"/>
                <w:bCs/>
                <w:sz w:val="24"/>
              </w:rPr>
              <w:t>专栏2 高质量养老服务体系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vAlign w:val="center"/>
          </w:tcPr>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1.居家养老。</w:t>
            </w:r>
            <w:r>
              <w:rPr>
                <w:rFonts w:ascii="Times New Roman" w:hAnsi="Times New Roman" w:eastAsia="仿宋_GB2312"/>
                <w:sz w:val="24"/>
                <w:szCs w:val="24"/>
              </w:rPr>
              <w:t>鼓励成年子女与老年父母就近居住或共同生活，推动居家养老服务网络实现全覆盖。</w:t>
            </w:r>
          </w:p>
          <w:p>
            <w:pPr>
              <w:pStyle w:val="9"/>
              <w:rPr>
                <w:rFonts w:ascii="Times New Roman" w:hAnsi="Times New Roman" w:eastAsia="仿宋_GB2312"/>
                <w:sz w:val="24"/>
                <w:szCs w:val="24"/>
              </w:rPr>
            </w:pPr>
            <w:r>
              <w:rPr>
                <w:rFonts w:ascii="Times New Roman" w:hAnsi="Times New Roman" w:eastAsia="仿宋_GB2312"/>
                <w:b/>
                <w:sz w:val="24"/>
                <w:szCs w:val="24"/>
              </w:rPr>
              <w:t xml:space="preserve">    2.社区养老。</w:t>
            </w:r>
            <w:r>
              <w:rPr>
                <w:rFonts w:ascii="Times New Roman" w:hAnsi="Times New Roman" w:eastAsia="仿宋_GB2312"/>
                <w:sz w:val="24"/>
                <w:szCs w:val="24"/>
              </w:rPr>
              <w:t>严格落实新建小区和老旧小区配套建设养老服务设施规定，大力发展社区嵌入式养老服务。探索制定《丽水市社区养老上门基本服务包》，为符合条件的经济困难、高龄、失能老人，提供每月200至500元的免费上门服务，解决老人社区养老难问题。</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3.农村养老。</w:t>
            </w:r>
            <w:r>
              <w:rPr>
                <w:rFonts w:ascii="Times New Roman" w:hAnsi="Times New Roman" w:eastAsia="仿宋_GB2312"/>
                <w:sz w:val="24"/>
                <w:szCs w:val="24"/>
              </w:rPr>
              <w:t>实施敬老院改造提升工程，加快将所有敬老院转型为区域性综合养老服务中心。全面开展农村互助养老，在全市范围内以志愿服务积分和互助养老时间兑换等方式开展互助养老服务工作，缓解农村高龄、独居、失能老年人养老难题。</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4.机构养老。</w:t>
            </w:r>
            <w:r>
              <w:rPr>
                <w:rFonts w:ascii="Times New Roman" w:hAnsi="Times New Roman" w:eastAsia="仿宋_GB2312"/>
                <w:sz w:val="24"/>
                <w:szCs w:val="24"/>
              </w:rPr>
              <w:t>完善推广“公建民营”养老服务机构发展模式，建立科学合理的公办养老机构价格形成机制，加强养老机构“保基本”床位统筹利用。重点扶持引导养老机构聚焦失能失智老年人长期照护，提高机构养老服务的针对性和精准性。</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 xml:space="preserve"> 5.</w:t>
            </w:r>
            <w:r>
              <w:rPr>
                <w:rFonts w:ascii="Times New Roman" w:hAnsi="Times New Roman"/>
                <w:b/>
              </w:rPr>
              <w:t xml:space="preserve"> </w:t>
            </w:r>
            <w:r>
              <w:rPr>
                <w:rFonts w:ascii="Times New Roman" w:hAnsi="Times New Roman" w:eastAsia="仿宋_GB2312"/>
                <w:b/>
                <w:sz w:val="24"/>
                <w:szCs w:val="24"/>
              </w:rPr>
              <w:t>虚拟养老。</w:t>
            </w:r>
            <w:r>
              <w:rPr>
                <w:rFonts w:ascii="Times New Roman" w:hAnsi="Times New Roman" w:eastAsia="仿宋_GB2312"/>
                <w:sz w:val="24"/>
                <w:szCs w:val="24"/>
              </w:rPr>
              <w:t>探索由政府建立一个养老服务信息平台，搭建“没有围墙的养老院”，即虚拟养老院。当老年人有服务需要时，拨一个电话给信息服务平台，信息服务平台就会按照老年人的要求，派服务企业员工上门为老年人提供服务，同时对服务质量进行监督。老人不必住在养老院中被动接受服务，在家就可以挑选、享受专业化的养老服务。</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6.医养结合。</w:t>
            </w:r>
            <w:r>
              <w:rPr>
                <w:rFonts w:ascii="Times New Roman" w:hAnsi="Times New Roman" w:eastAsia="仿宋_GB2312"/>
                <w:sz w:val="24"/>
                <w:szCs w:val="24"/>
              </w:rPr>
              <w:t>以医疗为保障，以康复为支撑，边医边养、综合治疗，多种形式搭建医疗机构与养老机构之间的绿色通道。</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7.养老服务监测评估。</w:t>
            </w:r>
            <w:r>
              <w:rPr>
                <w:rFonts w:ascii="Times New Roman" w:hAnsi="Times New Roman" w:eastAsia="仿宋_GB2312"/>
                <w:sz w:val="24"/>
                <w:szCs w:val="24"/>
              </w:rPr>
              <w:t>健全养老服务综合监管制度，开展养老服务设施面积条件达标、服务设施完备监测评价，建立养老服务“好差评”评价机制和质量认证机制，全面提升养老服务质量。</w:t>
            </w:r>
          </w:p>
        </w:tc>
      </w:tr>
    </w:tbl>
    <w:p>
      <w:pPr>
        <w:pStyle w:val="4"/>
        <w:keepLines w:val="0"/>
        <w:spacing w:line="580" w:lineRule="exact"/>
        <w:ind w:firstLine="642" w:firstLineChars="200"/>
        <w:rPr>
          <w:rFonts w:eastAsia="楷体_GB2312" w:cs="Times New Roman"/>
          <w:b/>
        </w:rPr>
      </w:pPr>
      <w:bookmarkStart w:id="205" w:name="_Toc818"/>
      <w:bookmarkStart w:id="206" w:name="_Toc11320"/>
      <w:bookmarkStart w:id="207" w:name="_Toc2183"/>
      <w:bookmarkStart w:id="208" w:name="_Toc25870"/>
      <w:bookmarkStart w:id="209" w:name="_Toc10277"/>
      <w:bookmarkStart w:id="210" w:name="_Toc83561893"/>
      <w:bookmarkStart w:id="211" w:name="_Toc30731"/>
      <w:bookmarkStart w:id="212" w:name="_Toc15491"/>
      <w:bookmarkStart w:id="213" w:name="_Toc16992"/>
      <w:bookmarkStart w:id="214" w:name="_Toc27485"/>
      <w:bookmarkStart w:id="215" w:name="_Toc1968"/>
      <w:bookmarkStart w:id="216" w:name="_Toc17060"/>
      <w:bookmarkStart w:id="217" w:name="_Toc14886"/>
      <w:bookmarkStart w:id="218" w:name="_Toc84690004"/>
      <w:bookmarkStart w:id="219" w:name="_Toc19759"/>
      <w:bookmarkStart w:id="220" w:name="_Toc20417"/>
      <w:bookmarkStart w:id="221" w:name="_Toc22716"/>
      <w:bookmarkStart w:id="222" w:name="_Toc26588"/>
      <w:bookmarkStart w:id="223" w:name="_Toc8073"/>
      <w:r>
        <w:rPr>
          <w:rFonts w:eastAsia="楷体_GB2312" w:cs="Times New Roman"/>
          <w:b/>
        </w:rPr>
        <w:t>（三）着力构建全周期健康支撑体系</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pPr>
        <w:pStyle w:val="18"/>
        <w:shd w:val="clear" w:color="auto" w:fill="FFFFFF"/>
        <w:spacing w:beforeAutospacing="0" w:afterAutospacing="0" w:line="580" w:lineRule="exact"/>
        <w:ind w:firstLine="642" w:firstLineChars="200"/>
        <w:jc w:val="both"/>
        <w:rPr>
          <w:sz w:val="32"/>
          <w:szCs w:val="32"/>
        </w:rPr>
      </w:pPr>
      <w:r>
        <w:rPr>
          <w:b/>
          <w:bCs/>
          <w:sz w:val="32"/>
          <w:szCs w:val="32"/>
          <w:shd w:val="clear" w:color="auto" w:fill="FFFFFF"/>
        </w:rPr>
        <w:t>全面提升居民健康素养。</w:t>
      </w:r>
      <w:r>
        <w:rPr>
          <w:sz w:val="32"/>
          <w:szCs w:val="32"/>
          <w:shd w:val="clear" w:color="auto" w:fill="FFFFFF"/>
        </w:rPr>
        <w:t>倡导“每个人是自己健康第一责任人”的理念，建立健全部门分工协作、全社会共同参与的健康促进与教育体系。</w:t>
      </w:r>
      <w:r>
        <w:rPr>
          <w:sz w:val="32"/>
          <w:szCs w:val="32"/>
        </w:rPr>
        <w:t>构筑健康教育与健康促进服务平台，完善健康科普“两库一机制”，健全健康指导师（员）网络，开发与运用健康教育传播平台和智慧健康干预工具，探索“互联网+精准健康科普”。强化健康生活方式指导，普及健康文化、健康养老等理念，开展“三减三健”等专项行动，实施居民营养改善计划，强化老年心理健康科普。加强全民科学健身，</w:t>
      </w:r>
      <w:r>
        <w:rPr>
          <w:kern w:val="2"/>
          <w:sz w:val="32"/>
          <w:szCs w:val="32"/>
        </w:rPr>
        <w:t>提高体育锻炼人群组织化程度，打造城市社区“10分钟健身圈”，</w:t>
      </w:r>
      <w:r>
        <w:rPr>
          <w:sz w:val="32"/>
          <w:szCs w:val="32"/>
        </w:rPr>
        <w:t>加强体医融合和非医疗健康干预。加强老年人健康素养和生活方式监测。</w:t>
      </w:r>
    </w:p>
    <w:p>
      <w:pPr>
        <w:pStyle w:val="2"/>
        <w:numPr>
          <w:ilvl w:val="0"/>
          <w:numId w:val="0"/>
        </w:numPr>
        <w:spacing w:line="580" w:lineRule="exact"/>
        <w:ind w:firstLine="642" w:firstLineChars="200"/>
        <w:rPr>
          <w:rFonts w:cs="Times New Roman"/>
          <w:szCs w:val="32"/>
        </w:rPr>
      </w:pPr>
      <w:r>
        <w:rPr>
          <w:rFonts w:cs="Times New Roman"/>
          <w:b/>
          <w:bCs/>
          <w:szCs w:val="32"/>
        </w:rPr>
        <w:t>完善健康服务设施。</w:t>
      </w:r>
      <w:r>
        <w:rPr>
          <w:rFonts w:cs="Times New Roman"/>
        </w:rPr>
        <w:t>构建以市第二人民医院（市老年医院）为龙头，以基层医疗卫生机构为基础，二级以上综合医院老年医学科为核心，社会办医疗机构为补充，相关医疗、科研、教育机构为支撑的老年医疗服务网络。推动打造浙西南老年医疗中心，发挥对区域医疗机构老年医疗的指导辐射作用。</w:t>
      </w:r>
      <w:r>
        <w:rPr>
          <w:rFonts w:cs="Times New Roman"/>
          <w:szCs w:val="32"/>
        </w:rPr>
        <w:t>加强老年医院、护理院、康复医院、安宁疗护机构等接续性医疗机构建设，到2025年，全市新增老年医院、护理院、康复医院等接续性医疗机构6家以上。推动二级及以上医院开设老年医学科和康复科，二级及以上中医医院开设治未病科，到2025年，</w:t>
      </w:r>
      <w:r>
        <w:rPr>
          <w:rFonts w:cs="Times New Roman"/>
        </w:rPr>
        <w:t>二级及以上综合医院和二甲及以上中医医院规范设置老年医学科比例</w:t>
      </w:r>
      <w:r>
        <w:rPr>
          <w:rFonts w:cs="Times New Roman"/>
          <w:szCs w:val="32"/>
        </w:rPr>
        <w:t>达到60%，二级及以上中医医院设置治未病科比例达到100%。加强基层医疗卫生机构老年、康复、护理、中医、安宁疗护等特色科室和病区（床位）建设，提升老年疾病诊治和康复护理服务能力。加强流动医院建设，探索“移动小药箱”，缓解偏远山区老年人看病问题。</w:t>
      </w:r>
    </w:p>
    <w:p>
      <w:pPr>
        <w:pStyle w:val="18"/>
        <w:widowControl/>
        <w:shd w:val="clear" w:color="auto" w:fill="FFFFFF"/>
        <w:spacing w:beforeAutospacing="0" w:afterAutospacing="0" w:line="580" w:lineRule="exact"/>
        <w:ind w:firstLine="642" w:firstLineChars="200"/>
        <w:jc w:val="both"/>
        <w:rPr>
          <w:kern w:val="2"/>
          <w:sz w:val="32"/>
          <w:szCs w:val="32"/>
        </w:rPr>
      </w:pPr>
      <w:r>
        <w:rPr>
          <w:b/>
          <w:bCs/>
          <w:kern w:val="2"/>
          <w:sz w:val="32"/>
          <w:szCs w:val="32"/>
        </w:rPr>
        <w:t>优化健康服务供给。</w:t>
      </w:r>
      <w:r>
        <w:rPr>
          <w:kern w:val="2"/>
          <w:sz w:val="32"/>
          <w:szCs w:val="32"/>
        </w:rPr>
        <w:t>构建整合型老年医疗卫生服务体系，健全“预防-治疗-康复-护理-长期照护-安宁疗护”服务链。做实做优家庭医生签约服务，65岁及以上老年人城乡社区规范健康管理服务率达到全省平均水平以上。实施慢性病防控行动，加强全人口视力、牙齿、关节保护，强化对老年常见病、慢性病的健康指导和综合干预。发挥丽水市老年期痴呆诊治联盟作用，推动老年痴呆的诊治和预防，开展认知障碍、抑郁等老年人常见精神障碍的预防、早期识别与干预。加强社区居家康复和护理服务，推进“互联网+医疗健康”服务模式应用于老年健康服务。普及安宁疗护文化理念，建立安宁疗护工作体系和服务网络，探索建立高效的机构与机构、居家与机构联动机制，到2025年，各县（市、区）至少有1家医院和20%以上的基层医疗卫生机构开展安宁疗护服务。发挥中医药在治未病、慢性病管理、疾病治疗、康复、安宁疗护等方面的独特作用，为老年人提供中西医结合的健康服务。推进老年人心理健康服务体系建设，</w:t>
      </w:r>
      <w:r>
        <w:rPr>
          <w:sz w:val="32"/>
          <w:szCs w:val="32"/>
        </w:rPr>
        <w:t>深化莲都、龙泉、青田、缙云、遂昌等国家级老年人心理关爱项目试点。</w:t>
      </w:r>
    </w:p>
    <w:p>
      <w:pPr>
        <w:spacing w:line="580" w:lineRule="exact"/>
        <w:ind w:firstLine="642" w:firstLineChars="200"/>
        <w:rPr>
          <w:rFonts w:cs="Times New Roman"/>
          <w:szCs w:val="32"/>
        </w:rPr>
      </w:pPr>
      <w:r>
        <w:rPr>
          <w:rFonts w:cs="Times New Roman"/>
          <w:b/>
          <w:bCs/>
          <w:szCs w:val="32"/>
        </w:rPr>
        <w:t>深化打造山区医养结合模式。</w:t>
      </w:r>
      <w:r>
        <w:rPr>
          <w:rFonts w:cs="Times New Roman"/>
          <w:szCs w:val="32"/>
        </w:rPr>
        <w:t>建立健全覆盖城乡、规模适宜、功能合理、综合连续的医养结合服务网络。推动养老机构和医疗卫生机构建设衔接，鼓励养老机构设置护理院、护理中心、康复医疗中心等医疗机构，支持社会力量通过市场化运作方式举办医养结合机构。鼓励养老机构与医疗卫生机构开展多种形式的协议合作，支持有条件的乡镇卫生院（社区卫生服务中心）开展院内医养结合服务试点。探索建立医疗、养老按需转换的病床制度和分级照护制度，完善医疗安全、待遇激励、医保支付等保障机制，借力专业养老机构，重点面向失能、半失能、失智及高龄老人，提供公寓式管理、精细化医疗和保姆式服务。加强家庭病床服务，提高基层医疗卫生机构为居家老年人提供上门医疗服务的能力。推动发展中医药特色医养结合服务，推进森林康复医院建设。</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vAlign w:val="center"/>
          </w:tcPr>
          <w:p>
            <w:pPr>
              <w:jc w:val="center"/>
              <w:rPr>
                <w:rFonts w:cs="Times New Roman"/>
                <w:sz w:val="24"/>
              </w:rPr>
            </w:pPr>
            <w:r>
              <w:rPr>
                <w:rFonts w:eastAsia="黑体" w:cs="Times New Roman"/>
                <w:bCs/>
                <w:sz w:val="24"/>
              </w:rPr>
              <w:t>专栏3 全生命周期健康支撑体系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vAlign w:val="center"/>
          </w:tcPr>
          <w:p>
            <w:pPr>
              <w:pStyle w:val="9"/>
              <w:ind w:firstLine="481" w:firstLineChars="200"/>
              <w:rPr>
                <w:rFonts w:ascii="Times New Roman" w:hAnsi="Times New Roman" w:eastAsia="仿宋_GB2312"/>
                <w:sz w:val="24"/>
                <w:szCs w:val="24"/>
              </w:rPr>
            </w:pPr>
            <w:r>
              <w:rPr>
                <w:rFonts w:ascii="Times New Roman" w:hAnsi="Times New Roman" w:eastAsia="仿宋_GB2312"/>
                <w:b/>
                <w:sz w:val="24"/>
                <w:szCs w:val="24"/>
              </w:rPr>
              <w:t>1.</w:t>
            </w:r>
            <w:r>
              <w:rPr>
                <w:rFonts w:hint="eastAsia" w:ascii="Times New Roman" w:hAnsi="Times New Roman" w:eastAsia="仿宋_GB2312"/>
                <w:b/>
                <w:sz w:val="24"/>
                <w:szCs w:val="24"/>
              </w:rPr>
              <w:t xml:space="preserve"> 母婴健康管理中心</w:t>
            </w:r>
            <w:r>
              <w:rPr>
                <w:rFonts w:ascii="Times New Roman" w:hAnsi="Times New Roman" w:eastAsia="仿宋_GB2312"/>
                <w:b/>
                <w:sz w:val="24"/>
                <w:szCs w:val="24"/>
              </w:rPr>
              <w:t>。</w:t>
            </w:r>
            <w:r>
              <w:rPr>
                <w:rFonts w:ascii="Times New Roman" w:hAnsi="Times New Roman" w:eastAsia="仿宋_GB2312"/>
                <w:sz w:val="24"/>
                <w:szCs w:val="24"/>
              </w:rPr>
              <w:t>争取到2025年，每个县（市、区）</w:t>
            </w:r>
            <w:r>
              <w:rPr>
                <w:rFonts w:hint="eastAsia" w:ascii="Times New Roman" w:hAnsi="Times New Roman" w:eastAsia="仿宋_GB2312"/>
                <w:sz w:val="24"/>
                <w:szCs w:val="24"/>
              </w:rPr>
              <w:t>培育或引进至</w:t>
            </w:r>
            <w:r>
              <w:rPr>
                <w:rFonts w:ascii="Times New Roman" w:hAnsi="Times New Roman" w:eastAsia="仿宋_GB2312"/>
                <w:sz w:val="24"/>
                <w:szCs w:val="24"/>
              </w:rPr>
              <w:t>少1家</w:t>
            </w:r>
            <w:r>
              <w:rPr>
                <w:rFonts w:hint="eastAsia" w:ascii="Times New Roman" w:hAnsi="Times New Roman" w:eastAsia="仿宋_GB2312"/>
                <w:sz w:val="24"/>
                <w:szCs w:val="24"/>
              </w:rPr>
              <w:t>五星级母婴健康管理中心。</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2.托幼机构。</w:t>
            </w:r>
            <w:r>
              <w:rPr>
                <w:rFonts w:ascii="Times New Roman" w:hAnsi="Times New Roman" w:eastAsia="仿宋_GB2312"/>
                <w:sz w:val="24"/>
                <w:szCs w:val="24"/>
              </w:rPr>
              <w:t>探索政府各部门特别是教育、卫生、社区管理部门和托幼机构共同参与提供优质、便利、普惠的公共托幼服务，使托幼服务真正做到广覆盖、保基本、有质量。</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3.文化体育活动中心。</w:t>
            </w:r>
            <w:r>
              <w:rPr>
                <w:rFonts w:ascii="Times New Roman" w:hAnsi="Times New Roman" w:eastAsia="仿宋_GB2312"/>
                <w:sz w:val="24"/>
                <w:szCs w:val="24"/>
              </w:rPr>
              <w:t>基于不同年龄段居民需求，建设完善文化体育活动中心配套功能。争取到2025年，每个县（市、区）各类文化体育活动中心不少于5个。</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4.老年公园。</w:t>
            </w:r>
            <w:r>
              <w:rPr>
                <w:rFonts w:ascii="Times New Roman" w:hAnsi="Times New Roman" w:eastAsia="仿宋_GB2312"/>
                <w:sz w:val="24"/>
                <w:szCs w:val="24"/>
              </w:rPr>
              <w:t>基于老年人生理和心理的变化，建设适老化、无障碍的老年公园。争取到2025年，每个县（市、区）以老年活动为中心的主题公园不少于1个。</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5.老年公寓。</w:t>
            </w:r>
            <w:r>
              <w:rPr>
                <w:rFonts w:ascii="Times New Roman" w:hAnsi="Times New Roman" w:eastAsia="仿宋_GB2312"/>
                <w:sz w:val="24"/>
                <w:szCs w:val="24"/>
              </w:rPr>
              <w:t>争取到2025年，每个县（市、区）集幸福食堂、清洁卫生、文化娱乐、医疗保健、通讯联络服务于一体的老年公寓不少于5家。</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6.临终关怀。</w:t>
            </w:r>
            <w:r>
              <w:rPr>
                <w:rFonts w:ascii="Times New Roman" w:hAnsi="Times New Roman" w:eastAsia="仿宋_GB2312"/>
                <w:sz w:val="24"/>
                <w:szCs w:val="24"/>
              </w:rPr>
              <w:t>探索临终关怀服务，为疾病终末期或老年患者在临终前提供身体、心理、精神等方面的照料和人文关怀等服务，帮助患者舒适、安详、有尊严地离世。</w:t>
            </w:r>
          </w:p>
        </w:tc>
      </w:tr>
    </w:tbl>
    <w:p>
      <w:pPr>
        <w:pStyle w:val="4"/>
        <w:spacing w:line="580" w:lineRule="exact"/>
        <w:ind w:firstLine="642" w:firstLineChars="200"/>
        <w:rPr>
          <w:rFonts w:eastAsia="楷体_GB2312" w:cs="Times New Roman"/>
          <w:b/>
        </w:rPr>
      </w:pPr>
      <w:bookmarkStart w:id="224" w:name="_Toc14954"/>
      <w:bookmarkStart w:id="225" w:name="_Toc4417"/>
      <w:bookmarkStart w:id="226" w:name="_Toc4830"/>
      <w:bookmarkStart w:id="227" w:name="_Toc3317"/>
      <w:bookmarkStart w:id="228" w:name="_Toc969"/>
      <w:bookmarkStart w:id="229" w:name="_Toc1041"/>
      <w:bookmarkStart w:id="230" w:name="_Toc13224"/>
      <w:bookmarkStart w:id="231" w:name="_Toc21348"/>
      <w:bookmarkStart w:id="232" w:name="_Toc3099"/>
      <w:bookmarkStart w:id="233" w:name="_Toc2328"/>
      <w:bookmarkStart w:id="234" w:name="_Toc14094"/>
      <w:bookmarkStart w:id="235" w:name="_Toc15596"/>
      <w:bookmarkStart w:id="236" w:name="_Toc84690005"/>
      <w:bookmarkStart w:id="237" w:name="_Toc12382"/>
      <w:bookmarkStart w:id="238" w:name="_Toc83561894"/>
      <w:bookmarkStart w:id="239" w:name="_Toc15595"/>
      <w:bookmarkStart w:id="240" w:name="_Toc26332"/>
      <w:r>
        <w:rPr>
          <w:rFonts w:eastAsia="楷体_GB2312" w:cs="Times New Roman"/>
          <w:b/>
        </w:rPr>
        <w:t>（四）着力构建适老化产品供给体系</w:t>
      </w:r>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pPr>
        <w:pStyle w:val="7"/>
        <w:spacing w:line="580" w:lineRule="exact"/>
        <w:ind w:firstLine="642" w:firstLineChars="200"/>
        <w:jc w:val="both"/>
        <w:rPr>
          <w:rFonts w:cs="Times New Roman"/>
          <w:szCs w:val="32"/>
        </w:rPr>
      </w:pPr>
      <w:r>
        <w:rPr>
          <w:rFonts w:cs="Times New Roman"/>
          <w:b/>
          <w:bCs/>
          <w:szCs w:val="32"/>
        </w:rPr>
        <w:t>激活老年产品市场需求。</w:t>
      </w:r>
      <w:r>
        <w:rPr>
          <w:rFonts w:cs="Times New Roman"/>
          <w:szCs w:val="32"/>
        </w:rPr>
        <w:t>以满足老年人多样化、个性化、品质化消费需求为导向，采用新理念、新技术、新材料，提升发展食用菌、中药材等养生农林和水产品产业，培育发展生物提取、现代中药等新型老龄产业，支持发展老年服装服饰、生活护理用品、日用辅助用品、健康康复辅具等老年用品产业，引导培育老年康复护理、教育培训、文化娱乐、金融保险等领域。到2025年，建成康复辅具与老年用品展示中心和区域性康复辅具洗消中心。调整养老政策扶持方向，从“补砖头、补床头、补建设”向“补人头、补运营、补需方”转变，鼓励养老服务机构专业化、连锁化、品牌化发展，引进或培育一批社会化养老机构和连锁品牌。依托国际老龄产业博览会等展会平台，促进老龄产业相关产品和服务供需对接。充分发挥家庭的支撑作用，倡导子女更多为老人消费，提升老年人生活品质。加强老年人消费引导，严厉打击侵害老年消费者的违法行为，强化老年消费者权益损害法律责任。</w:t>
      </w:r>
    </w:p>
    <w:p>
      <w:pPr>
        <w:spacing w:line="580" w:lineRule="exact"/>
        <w:ind w:firstLine="642" w:firstLineChars="200"/>
        <w:rPr>
          <w:rFonts w:cs="Times New Roman"/>
          <w:szCs w:val="32"/>
        </w:rPr>
      </w:pPr>
      <w:r>
        <w:rPr>
          <w:rFonts w:cs="Times New Roman"/>
          <w:b/>
          <w:bCs/>
        </w:rPr>
        <w:t>加快浙西南康养基地建设。</w:t>
      </w:r>
      <w:r>
        <w:rPr>
          <w:rFonts w:cs="Times New Roman"/>
          <w:szCs w:val="32"/>
        </w:rPr>
        <w:t>依托中医药、生物医药等产业资源，融合“水养、体养、文养、食养、药养、气养”，围绕森林康养、气候康养、中医药康养、温泉康养、康养旅游等领域，打造具有丽水特色的气候治疗服务业态。加快建设康养基地、康养小镇、康养特色村，重点建设一批海拔600米以上康养为主题的“康养600”小镇，打造华东康养核心基地。推进定位清晰、职责明确、上下联通、转接有序的康养联合体建设，为失能失智等高风险老年人提供康养护理、康复训练和生活照料等服务。加强未来社区康养场景建设，每个未来社区均建有康养联合体，并逐步向一般城乡社区拓展。</w:t>
      </w:r>
      <w:r>
        <w:rPr>
          <w:rFonts w:cs="Times New Roman"/>
          <w:bCs/>
          <w:szCs w:val="32"/>
        </w:rPr>
        <w:t>到2025年建成</w:t>
      </w:r>
      <w:r>
        <w:rPr>
          <w:rFonts w:cs="Times New Roman"/>
          <w:szCs w:val="32"/>
        </w:rPr>
        <w:t>康养联合体</w:t>
      </w:r>
      <w:r>
        <w:rPr>
          <w:rFonts w:cs="Times New Roman"/>
          <w:bCs/>
          <w:szCs w:val="32"/>
        </w:rPr>
        <w:t>100家，2035年建成150家。</w:t>
      </w:r>
    </w:p>
    <w:p>
      <w:pPr>
        <w:pStyle w:val="19"/>
        <w:spacing w:after="0" w:line="580" w:lineRule="exact"/>
        <w:ind w:left="0" w:leftChars="0" w:firstLine="640"/>
        <w:rPr>
          <w:szCs w:val="32"/>
        </w:rPr>
      </w:pPr>
      <w:r>
        <w:rPr>
          <w:b/>
          <w:bCs/>
          <w:szCs w:val="32"/>
        </w:rPr>
        <w:t>增加养老产业科技产品供给。</w:t>
      </w:r>
      <w:r>
        <w:rPr>
          <w:szCs w:val="32"/>
        </w:rPr>
        <w:t>抓住新基建机遇，利用人工智能、物联网、云计算、大数据等新一代信息技术，推动老年公共服务和老龄产业智慧化升级。联合联合国基金、阿里打造数字化助老之城，以华数新媒体数字化平台为载体，稳步推进“互联网+老年健康”服务新模式。依托全省“浙里养”智慧平台，深化“丽水居养”综合养老服务平台，为老年人提供“菜单式”多元养老服务。加快建设智慧养老院，鼓励养老机构运用智慧养老系统进行日常管理，并将服务延伸至社区居家。加强养老终端设备的适老化设计与开发，针对家庭、社区、机构等不同应用环境，加快各类健康养老类可穿戴设备、智能监测和看护设备的研发、生产和销售。围绕助老助残、家庭生活需求，开发家政服务、情感陪护、娱乐休闲、安防监控、虚拟现实康复训练、失能失智康复照护等智能养老服务产品。提升老年人科学素养，努力消除老年人面临的“数字鸿沟”，确保共享科技创新成果。</w:t>
      </w:r>
    </w:p>
    <w:p>
      <w:pPr>
        <w:spacing w:line="580" w:lineRule="exact"/>
        <w:ind w:firstLine="642" w:firstLineChars="200"/>
        <w:rPr>
          <w:rFonts w:cs="Times New Roman"/>
        </w:rPr>
      </w:pPr>
      <w:r>
        <w:rPr>
          <w:rFonts w:cs="Times New Roman"/>
          <w:b/>
          <w:bCs/>
        </w:rPr>
        <w:t>丰富老年文化体育产品供给。</w:t>
      </w:r>
      <w:r>
        <w:rPr>
          <w:rFonts w:cs="Times New Roman"/>
        </w:rPr>
        <w:t>完善老年教育布点网络，发挥区域成技校职能和全国老年远程教育实验区优势，推动老年教育乡镇（街道）全覆盖。发挥摄影之乡优势，办好省老年摄影分院，成立老年研学、游学基地，探索开发木玩、青瓷等老年教育课程内容，到2025年，经常性参与教育活动的老年人口比例达到30%以上。合理布局老年文化活动场地，提升公共文化设施的适老性，实现全市老年活动中心全覆盖，公办文化活动场地免费或优惠向老年人开放。实施老年体育样本工程，老年体育达到“有组织、有制度、有经费、有场地、有人员、有活动”的“六有”要求。加强城乡老年体育场地和设施建设，谋划建设丽水市老年体育健身综合馆，城乡公园、社区普遍配建适合老年人锻炼的健身和康体设施，打造城市社区10分钟、农村乡镇15分钟健身圈。到2025年，经常性参与体育活动的老年人口比例达到25%以上。</w:t>
      </w:r>
    </w:p>
    <w:p>
      <w:pPr>
        <w:spacing w:line="580" w:lineRule="exact"/>
        <w:ind w:firstLine="642" w:firstLineChars="200"/>
        <w:rPr>
          <w:rFonts w:cs="Times New Roman"/>
        </w:rPr>
      </w:pPr>
      <w:r>
        <w:rPr>
          <w:rFonts w:cs="Times New Roman"/>
          <w:b/>
        </w:rPr>
        <w:t>扩大普惠性养老服务供给。</w:t>
      </w:r>
      <w:r>
        <w:rPr>
          <w:rFonts w:cs="Times New Roman"/>
        </w:rPr>
        <w:t>在“一老一小”等供需矛盾突出的领域，通过政府购买服务、公建民营、民办公助等方式引入社会力量发展质量有保障、价格可承受的普惠性养老服务，满足中低收入人群的养老需求。加强普惠性养老服务机构（网点）建设，纳入新建、改建居住区公共服务配套设施规划予以统筹。加强全市统筹，推动各地区因地制宜制定社区普惠性养老服务机构（网点）认定支持具体办法，实行统一标识、统一挂牌，开展社会信用承诺。</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vAlign w:val="center"/>
          </w:tcPr>
          <w:p>
            <w:pPr>
              <w:jc w:val="center"/>
              <w:rPr>
                <w:rFonts w:cs="Times New Roman"/>
                <w:sz w:val="24"/>
              </w:rPr>
            </w:pPr>
            <w:r>
              <w:rPr>
                <w:rFonts w:eastAsia="黑体" w:cs="Times New Roman"/>
                <w:bCs/>
                <w:sz w:val="24"/>
              </w:rPr>
              <w:t>专栏4 普惠养老产品供给体系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vAlign w:val="center"/>
          </w:tcPr>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1.多方联动“促普惠”。</w:t>
            </w:r>
            <w:r>
              <w:rPr>
                <w:rFonts w:ascii="Times New Roman" w:hAnsi="Times New Roman" w:eastAsia="仿宋_GB2312"/>
                <w:sz w:val="24"/>
                <w:szCs w:val="24"/>
              </w:rPr>
              <w:t>综合运用财政预算内投资补助、政府提供政策优惠、金融机构提供贷款优惠等多重手段，帮助企业降低运营和管理成本，使得服务价格能够“普惠”，与居民可支配收入、退休金等相适应，让普通工薪阶层老年人买得到、买得起。</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2.合作签约“列清单”。</w:t>
            </w:r>
            <w:r>
              <w:rPr>
                <w:rFonts w:ascii="Times New Roman" w:hAnsi="Times New Roman" w:eastAsia="仿宋_GB2312"/>
                <w:sz w:val="24"/>
                <w:szCs w:val="24"/>
              </w:rPr>
              <w:t>着眼于支持提升丽水养老服务能力，以合作签约形式明确养老政策清单和服务清单，政府明确规划、土地、金融、财税、人才等一揽子政策，企业承诺有质量保障的普惠养老服务，对外公示、接受监督。</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3.金融机构“强配套”。</w:t>
            </w:r>
            <w:r>
              <w:rPr>
                <w:rFonts w:ascii="Times New Roman" w:hAnsi="Times New Roman" w:eastAsia="仿宋_GB2312"/>
                <w:sz w:val="24"/>
                <w:szCs w:val="24"/>
              </w:rPr>
              <w:t>探索丽水市人民政府与国有银行、地方银行等金融机构签订战略合作协议，向符合条件的普惠养老服务项目提供优惠利率贷款支持，推动实质性解决养老企业融资难问题。</w:t>
            </w:r>
          </w:p>
          <w:p>
            <w:pPr>
              <w:pStyle w:val="9"/>
              <w:rPr>
                <w:rFonts w:ascii="Times New Roman" w:hAnsi="Times New Roman" w:eastAsia="仿宋_GB2312"/>
                <w:sz w:val="24"/>
                <w:szCs w:val="24"/>
              </w:rPr>
            </w:pPr>
            <w:r>
              <w:rPr>
                <w:rFonts w:ascii="Times New Roman" w:hAnsi="Times New Roman" w:eastAsia="仿宋_GB2312"/>
                <w:sz w:val="24"/>
                <w:szCs w:val="24"/>
              </w:rPr>
              <w:t xml:space="preserve">   </w:t>
            </w:r>
            <w:r>
              <w:rPr>
                <w:rFonts w:ascii="Times New Roman" w:hAnsi="Times New Roman" w:eastAsia="仿宋_GB2312"/>
                <w:b/>
                <w:sz w:val="24"/>
                <w:szCs w:val="24"/>
              </w:rPr>
              <w:t xml:space="preserve"> 4.竞争择优“抓项目”。</w:t>
            </w:r>
            <w:r>
              <w:rPr>
                <w:rFonts w:ascii="Times New Roman" w:hAnsi="Times New Roman" w:eastAsia="仿宋_GB2312"/>
                <w:sz w:val="24"/>
                <w:szCs w:val="24"/>
              </w:rPr>
              <w:t>优先选取积极性高、规划科学的地区，优先支持实力雄厚、项目优质、诚实守信的企业，优先选择融资成本低、服务质量好的金融机构，推动形成有效竞争局面，最终让老年人能够享受到好服务、得到真实惠。</w:t>
            </w:r>
          </w:p>
        </w:tc>
      </w:tr>
    </w:tbl>
    <w:p>
      <w:pPr>
        <w:pStyle w:val="4"/>
        <w:spacing w:line="580" w:lineRule="exact"/>
        <w:ind w:firstLine="642" w:firstLineChars="200"/>
        <w:rPr>
          <w:rFonts w:eastAsia="楷体_GB2312" w:cs="Times New Roman"/>
          <w:b/>
        </w:rPr>
      </w:pPr>
      <w:bookmarkStart w:id="241" w:name="_Toc21852"/>
      <w:bookmarkStart w:id="242" w:name="_Toc1592"/>
      <w:bookmarkStart w:id="243" w:name="_Toc32319"/>
      <w:bookmarkStart w:id="244" w:name="_Toc9661"/>
      <w:bookmarkStart w:id="245" w:name="_Toc7585"/>
      <w:bookmarkStart w:id="246" w:name="_Toc4777"/>
      <w:bookmarkStart w:id="247" w:name="_Toc17055"/>
      <w:bookmarkStart w:id="248" w:name="_Toc84690006"/>
      <w:bookmarkStart w:id="249" w:name="_Toc4688"/>
      <w:bookmarkStart w:id="250" w:name="_Toc27762"/>
      <w:bookmarkStart w:id="251" w:name="_Toc30788"/>
      <w:bookmarkStart w:id="252" w:name="_Toc5730"/>
      <w:bookmarkStart w:id="253" w:name="_Toc3343"/>
      <w:bookmarkStart w:id="254" w:name="_Toc83561895"/>
      <w:bookmarkStart w:id="255" w:name="_Toc2897"/>
      <w:bookmarkStart w:id="256" w:name="_Toc25422"/>
      <w:bookmarkStart w:id="257" w:name="_Toc25952"/>
      <w:r>
        <w:rPr>
          <w:rFonts w:eastAsia="楷体_GB2312" w:cs="Times New Roman"/>
          <w:b/>
        </w:rPr>
        <w:t>（五）着力构建均衡型人力资源体系</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r>
        <w:rPr>
          <w:rFonts w:eastAsia="楷体_GB2312" w:cs="Times New Roman"/>
          <w:b/>
        </w:rPr>
        <w:t xml:space="preserve"> </w:t>
      </w:r>
    </w:p>
    <w:p>
      <w:pPr>
        <w:pStyle w:val="2"/>
        <w:numPr>
          <w:ilvl w:val="0"/>
          <w:numId w:val="0"/>
        </w:numPr>
        <w:spacing w:line="580" w:lineRule="exact"/>
        <w:ind w:firstLine="642" w:firstLineChars="200"/>
        <w:rPr>
          <w:rFonts w:cs="Times New Roman"/>
        </w:rPr>
      </w:pPr>
      <w:r>
        <w:rPr>
          <w:rFonts w:cs="Times New Roman"/>
          <w:b/>
          <w:bCs/>
          <w:szCs w:val="32"/>
        </w:rPr>
        <w:t>推动实现适度生育水平。</w:t>
      </w:r>
      <w:r>
        <w:rPr>
          <w:rFonts w:cs="Times New Roman"/>
        </w:rPr>
        <w:t>实施三孩生育政策及配套支持措施，促进生育政策和相关经济社会政策配套衔接，引导全市总和生育率保持在适度区间。提高优生优育服务水平，保障孕产妇和儿童健康，综合防治出生缺陷。探索建立生育成本共担机制，加强生育妇女就业、工资待遇等权利保障，完善生育保险制度，多渠道降低生育、养育、教育成本。严格落实产假、哺乳假等制度，探索增设父母育儿假。加大0-3岁托育服务供给，构建政府主导、以普惠微型托育机构为主体、社会力量广泛参与的托育服务体系，为城乡居民提供质量有保障、价格可承受、方便可及的托育服务，不断提升入托率。完善计划生育家庭扶助保障体系，对全面两孩政策调整前的独生子女家庭和农村计划生育双女家庭，继续实行现行各项奖励扶助制度和优惠政策。</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vAlign w:val="center"/>
          </w:tcPr>
          <w:p>
            <w:pPr>
              <w:jc w:val="center"/>
              <w:rPr>
                <w:rFonts w:cs="Times New Roman"/>
                <w:sz w:val="24"/>
              </w:rPr>
            </w:pPr>
            <w:r>
              <w:rPr>
                <w:rFonts w:eastAsia="黑体" w:cs="Times New Roman"/>
                <w:bCs/>
                <w:sz w:val="24"/>
              </w:rPr>
              <w:t>专栏5 家庭发展政策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vAlign w:val="center"/>
          </w:tcPr>
          <w:p>
            <w:pPr>
              <w:ind w:firstLine="480" w:firstLineChars="200"/>
              <w:outlineLvl w:val="2"/>
              <w:rPr>
                <w:rFonts w:cs="Times New Roman"/>
                <w:sz w:val="24"/>
              </w:rPr>
            </w:pPr>
            <w:r>
              <w:rPr>
                <w:rFonts w:cs="Times New Roman"/>
                <w:sz w:val="24"/>
              </w:rPr>
              <w:t>1. 实施农村部分计划生育家庭奖励扶助、特别扶助和计划生育公益金等制度。落实计划生育特殊家庭联系人制度、家庭医生签约服务、就医绿色通道“三个全覆盖”。</w:t>
            </w:r>
          </w:p>
          <w:p>
            <w:pPr>
              <w:ind w:firstLine="480" w:firstLineChars="200"/>
              <w:outlineLvl w:val="2"/>
              <w:rPr>
                <w:rFonts w:cs="Times New Roman"/>
                <w:sz w:val="24"/>
              </w:rPr>
            </w:pPr>
            <w:r>
              <w:rPr>
                <w:rFonts w:cs="Times New Roman"/>
                <w:sz w:val="24"/>
              </w:rPr>
              <w:t>2. 以家庭健康教育促进、青春健康深化、暖心行动、幸福家庭创建促进、“三留守”人员关爱及优生优育进万家等项目为载体，进一步促进生育关怀和家庭健康工作发展。</w:t>
            </w:r>
          </w:p>
          <w:p>
            <w:pPr>
              <w:ind w:firstLine="480" w:firstLineChars="200"/>
              <w:outlineLvl w:val="2"/>
              <w:rPr>
                <w:rFonts w:cs="Times New Roman"/>
                <w:sz w:val="24"/>
              </w:rPr>
            </w:pPr>
            <w:r>
              <w:rPr>
                <w:rFonts w:cs="Times New Roman"/>
                <w:sz w:val="24"/>
              </w:rPr>
              <w:t>3. 推进优生优育全过程服务，落实孕前优生健康检查，加强孕妇孕产期保健服务和出生缺陷综合防治，提高出生人口素质。</w:t>
            </w:r>
          </w:p>
          <w:p>
            <w:pPr>
              <w:rPr>
                <w:rFonts w:cs="Times New Roman"/>
                <w:sz w:val="24"/>
              </w:rPr>
            </w:pPr>
            <w:r>
              <w:rPr>
                <w:rFonts w:cs="Times New Roman"/>
                <w:sz w:val="24"/>
              </w:rPr>
              <w:t xml:space="preserve">    4. 提高适龄妇女宫颈癌和乳腺癌检查覆盖面，提高宫颈癌和乳腺癌早诊早治率。</w:t>
            </w:r>
          </w:p>
          <w:p>
            <w:pPr>
              <w:ind w:firstLine="480" w:firstLineChars="200"/>
              <w:outlineLvl w:val="2"/>
              <w:rPr>
                <w:rFonts w:cs="Times New Roman"/>
              </w:rPr>
            </w:pPr>
            <w:r>
              <w:rPr>
                <w:rFonts w:cs="Times New Roman"/>
                <w:sz w:val="24"/>
              </w:rPr>
              <w:t>5. 加快推进公共场所母婴设施的建设和改造，为婴幼儿哺乳等提供便利条件，营造生育友好的社会环境。</w:t>
            </w:r>
          </w:p>
        </w:tc>
      </w:tr>
    </w:tbl>
    <w:p>
      <w:pPr>
        <w:spacing w:line="580" w:lineRule="exact"/>
        <w:ind w:firstLine="642" w:firstLineChars="200"/>
        <w:outlineLvl w:val="2"/>
        <w:rPr>
          <w:rFonts w:cs="Times New Roman"/>
        </w:rPr>
      </w:pPr>
      <w:r>
        <w:rPr>
          <w:rFonts w:cs="Times New Roman"/>
          <w:b/>
          <w:bCs/>
          <w:szCs w:val="32"/>
        </w:rPr>
        <w:t>优化适龄劳动力结构。</w:t>
      </w:r>
      <w:r>
        <w:rPr>
          <w:rFonts w:cs="Times New Roman"/>
        </w:rPr>
        <w:t>瞄准世界丽水人、举家搬迁者、青年英才、高层次领军人才四大引人方向，优化政策、产业、生活空间，推动人口规模进一步增长。实施新时代绿谷工匠培育、“两山”转化人才培育等工程，吸引培育一批产业工人和专技人才，壮大丽水适龄劳动力基础规模。实施“绿谷精英·创新引领”行动计划，引进集聚一批产业紧缺的国际一流战略科技人才、高端领军人才、高水平创新团队和项目，形成一个人才带来一个团队带动一片产业集聚一批人口的发展模式。实施企业家综合素质提升、科技型企业家培育、新生代企业家“两百双传承”等工程，培育一批卓越企业家人才队伍。</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vAlign w:val="center"/>
          </w:tcPr>
          <w:p>
            <w:pPr>
              <w:jc w:val="center"/>
              <w:rPr>
                <w:rFonts w:eastAsia="黑体" w:cs="Times New Roman"/>
                <w:sz w:val="24"/>
              </w:rPr>
            </w:pPr>
            <w:r>
              <w:rPr>
                <w:rFonts w:eastAsia="黑体" w:cs="Times New Roman"/>
                <w:sz w:val="24"/>
              </w:rPr>
              <w:t>专栏6 人才培育行动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vAlign w:val="center"/>
          </w:tcPr>
          <w:p>
            <w:pPr>
              <w:rPr>
                <w:rFonts w:cs="Times New Roman"/>
                <w:b/>
                <w:bCs/>
                <w:sz w:val="24"/>
                <w:shd w:val="clear" w:color="auto" w:fill="FFFFFF"/>
              </w:rPr>
            </w:pPr>
            <w:r>
              <w:rPr>
                <w:rFonts w:cs="Times New Roman"/>
                <w:b/>
                <w:bCs/>
                <w:sz w:val="24"/>
                <w:shd w:val="clear" w:color="auto" w:fill="FFFFFF"/>
              </w:rPr>
              <w:t xml:space="preserve">    新时代绿谷工匠培育工程。</w:t>
            </w:r>
            <w:r>
              <w:rPr>
                <w:rFonts w:cs="Times New Roman"/>
                <w:bCs/>
                <w:sz w:val="24"/>
                <w:shd w:val="clear" w:color="auto" w:fill="FFFFFF"/>
              </w:rPr>
              <w:t>培养一批符合丽水产业发展需求、技艺精湛的青年“匠苗”和智能制造、生态制药等产业技能人才和“丽水三宝”“西餐师傅”等特色技能人才。</w:t>
            </w:r>
          </w:p>
          <w:p>
            <w:pPr>
              <w:rPr>
                <w:rFonts w:cs="Times New Roman"/>
                <w:b/>
                <w:bCs/>
                <w:sz w:val="24"/>
                <w:shd w:val="clear" w:color="auto" w:fill="FFFFFF"/>
              </w:rPr>
            </w:pPr>
            <w:r>
              <w:rPr>
                <w:rFonts w:cs="Times New Roman"/>
                <w:b/>
                <w:bCs/>
                <w:sz w:val="24"/>
                <w:shd w:val="clear" w:color="auto" w:fill="FFFFFF"/>
              </w:rPr>
              <w:t xml:space="preserve">    “两山”转化人才培育工程。</w:t>
            </w:r>
            <w:r>
              <w:rPr>
                <w:rFonts w:cs="Times New Roman"/>
                <w:bCs/>
                <w:sz w:val="24"/>
                <w:shd w:val="clear" w:color="auto" w:fill="FFFFFF"/>
              </w:rPr>
              <w:t>培养一批新时代生态文明建设人才。</w:t>
            </w:r>
          </w:p>
          <w:p>
            <w:pPr>
              <w:rPr>
                <w:rFonts w:cs="Times New Roman"/>
                <w:bCs/>
                <w:sz w:val="24"/>
                <w:shd w:val="clear" w:color="auto" w:fill="FFFFFF"/>
              </w:rPr>
            </w:pPr>
            <w:r>
              <w:rPr>
                <w:rFonts w:cs="Times New Roman"/>
                <w:b/>
                <w:bCs/>
                <w:sz w:val="24"/>
                <w:shd w:val="clear" w:color="auto" w:fill="FFFFFF"/>
              </w:rPr>
              <w:t xml:space="preserve">    “绿谷精英·创新引领”行动计划。</w:t>
            </w:r>
            <w:r>
              <w:rPr>
                <w:rFonts w:cs="Times New Roman"/>
                <w:bCs/>
                <w:sz w:val="24"/>
                <w:shd w:val="clear" w:color="auto" w:fill="FFFFFF"/>
              </w:rPr>
              <w:t>引进集聚一批产业紧缺的国际一流战略科技人才、高端领军人才、高水平创新团队和项目，到2025年，争取引进“绿谷精英”人才项目落地400个以上。</w:t>
            </w:r>
          </w:p>
          <w:p>
            <w:pPr>
              <w:rPr>
                <w:rFonts w:cs="Times New Roman"/>
                <w:b/>
                <w:bCs/>
                <w:sz w:val="24"/>
                <w:shd w:val="clear" w:color="auto" w:fill="FFFFFF"/>
              </w:rPr>
            </w:pPr>
            <w:r>
              <w:rPr>
                <w:rFonts w:cs="Times New Roman"/>
                <w:bCs/>
                <w:sz w:val="24"/>
                <w:shd w:val="clear" w:color="auto" w:fill="FFFFFF"/>
              </w:rPr>
              <w:t xml:space="preserve">    </w:t>
            </w:r>
            <w:r>
              <w:rPr>
                <w:rFonts w:cs="Times New Roman"/>
                <w:b/>
                <w:bCs/>
                <w:sz w:val="24"/>
                <w:shd w:val="clear" w:color="auto" w:fill="FFFFFF"/>
              </w:rPr>
              <w:t>企业家综合素质提升工程。</w:t>
            </w:r>
            <w:r>
              <w:rPr>
                <w:rFonts w:cs="Times New Roman"/>
                <w:bCs/>
                <w:sz w:val="24"/>
                <w:shd w:val="clear" w:color="auto" w:fill="FFFFFF"/>
              </w:rPr>
              <w:t>联合高校和教育咨询培训机构，开展“菜单式”“双自主”培训，提升企业家综合能力，力争实现规上工业企业企业家轮训全覆盖。</w:t>
            </w:r>
          </w:p>
          <w:p>
            <w:pPr>
              <w:rPr>
                <w:rFonts w:cs="Times New Roman"/>
                <w:b/>
                <w:bCs/>
                <w:sz w:val="24"/>
                <w:shd w:val="clear" w:color="auto" w:fill="FFFFFF"/>
              </w:rPr>
            </w:pPr>
            <w:r>
              <w:rPr>
                <w:rFonts w:cs="Times New Roman"/>
                <w:b/>
                <w:bCs/>
                <w:sz w:val="24"/>
                <w:shd w:val="clear" w:color="auto" w:fill="FFFFFF"/>
              </w:rPr>
              <w:t xml:space="preserve">    科技型企业家培育工程。</w:t>
            </w:r>
            <w:r>
              <w:rPr>
                <w:rFonts w:cs="Times New Roman"/>
                <w:bCs/>
                <w:sz w:val="24"/>
                <w:shd w:val="clear" w:color="auto" w:fill="FFFFFF"/>
              </w:rPr>
              <w:t>培养一批既懂科技又通市场的复合型企业家人才。</w:t>
            </w:r>
          </w:p>
          <w:p>
            <w:pPr>
              <w:rPr>
                <w:rFonts w:cs="Times New Roman"/>
                <w:b/>
                <w:bCs/>
                <w:sz w:val="24"/>
                <w:shd w:val="clear" w:color="auto" w:fill="FFFFFF"/>
              </w:rPr>
            </w:pPr>
            <w:r>
              <w:rPr>
                <w:rFonts w:cs="Times New Roman"/>
                <w:b/>
                <w:bCs/>
                <w:sz w:val="24"/>
                <w:shd w:val="clear" w:color="auto" w:fill="FFFFFF"/>
              </w:rPr>
              <w:t xml:space="preserve">    新生代企业家“两百双传承”计划。</w:t>
            </w:r>
            <w:r>
              <w:rPr>
                <w:rFonts w:cs="Times New Roman"/>
                <w:bCs/>
                <w:sz w:val="24"/>
                <w:shd w:val="clear" w:color="auto" w:fill="FFFFFF"/>
              </w:rPr>
              <w:t>建设具有开拓精神、前瞻眼光、国际视野的新生代企业家队伍。</w:t>
            </w:r>
          </w:p>
        </w:tc>
      </w:tr>
    </w:tbl>
    <w:p>
      <w:pPr>
        <w:spacing w:line="580" w:lineRule="exact"/>
        <w:ind w:firstLine="642" w:firstLineChars="200"/>
        <w:outlineLvl w:val="2"/>
        <w:rPr>
          <w:rFonts w:cs="Times New Roman"/>
          <w:szCs w:val="32"/>
        </w:rPr>
      </w:pPr>
      <w:r>
        <w:rPr>
          <w:rFonts w:cs="Times New Roman"/>
          <w:b/>
          <w:bCs/>
          <w:szCs w:val="32"/>
        </w:rPr>
        <w:t>提升劳动者职业素质。</w:t>
      </w:r>
      <w:r>
        <w:rPr>
          <w:rFonts w:cs="Times New Roman"/>
          <w:szCs w:val="32"/>
        </w:rPr>
        <w:t>深化产教融合模式，面向数字经济、精密制造、半导体、健康医药、时尚、文旅、水等产业，支持行业龙头企业、普通高校、职业院校、科研机构等组成的产教融合联盟，打造一批高水平的国家产教融合示范基地。加快形成以企业培训为主体，以丽水职业技术学院等院校为重要平台，以社会培训和评价机构为支持的新型职业技能培训体系，大力发展订单式、定向型职业教育和技工，建设知识型、技能型、创新型劳动者大军，实现劳动力质量对数量的替代。</w:t>
      </w:r>
      <w:r>
        <w:rPr>
          <w:rFonts w:cs="Times New Roman"/>
          <w:color w:val="auto"/>
          <w:szCs w:val="32"/>
        </w:rPr>
        <w:t>构建终身教育体系，加快社区学院建设，推动丽水白云老年大学、龙泉老年大学、青田县温溪老年学堂等老年大学（学堂）建设提升，</w:t>
      </w:r>
      <w:r>
        <w:rPr>
          <w:rFonts w:cs="Times New Roman"/>
          <w:szCs w:val="32"/>
        </w:rPr>
        <w:t>加快“学分银行”制度创新，探索互联网+终身教育模式。</w:t>
      </w:r>
    </w:p>
    <w:p>
      <w:pPr>
        <w:spacing w:line="580" w:lineRule="exact"/>
        <w:ind w:firstLine="642" w:firstLineChars="200"/>
        <w:outlineLvl w:val="2"/>
        <w:rPr>
          <w:rFonts w:cs="Times New Roman"/>
          <w:szCs w:val="32"/>
        </w:rPr>
      </w:pPr>
      <w:r>
        <w:rPr>
          <w:rFonts w:cs="Times New Roman"/>
          <w:b/>
          <w:bCs/>
          <w:szCs w:val="32"/>
        </w:rPr>
        <w:t>推进老年人力资源开发利用。</w:t>
      </w:r>
      <w:r>
        <w:rPr>
          <w:rFonts w:cs="Times New Roman"/>
          <w:szCs w:val="32"/>
        </w:rPr>
        <w:t>结合不同行业、不同岗位的实际情况，推动退休年龄、退休方式、退休待遇更具灵活性。采取政府购买服务等形式，支持各类社会组织、各类学校和教育机构，聚焦后代照护、老年人互助、微环境维护、睦邻关系等主题，拓宽老年人服务社区的参与渠道。大力开展低龄老年人就业教育与培训，对有创业意向的老年人开展创业培训。完善老年人力资源开发政策，重点围绕技术服务、咨询顾问、公益服务等领域，建立老年人才资源信息平台和中介服务机构，推进老年人才市场建设。培育基层老年人社会组织，推动发展公益慈善类老龄服务组织，实现村（社区）老年协会全覆盖。深化“银龄互助”行动，实现社区、村全覆盖。建设承载退休人才的重点平台，构建以市本级为核心，各县域为特色的“退休人才康养社区”，推进院士专家疗休养基地建设。</w:t>
      </w:r>
    </w:p>
    <w:p>
      <w:pPr>
        <w:pStyle w:val="4"/>
        <w:spacing w:line="580" w:lineRule="exact"/>
        <w:ind w:firstLine="642" w:firstLineChars="200"/>
        <w:rPr>
          <w:rFonts w:eastAsia="楷体_GB2312" w:cs="Times New Roman"/>
          <w:b/>
        </w:rPr>
      </w:pPr>
      <w:bookmarkStart w:id="258" w:name="_Toc17590"/>
      <w:bookmarkStart w:id="259" w:name="_Toc18935"/>
      <w:bookmarkStart w:id="260" w:name="_Toc11027"/>
      <w:bookmarkStart w:id="261" w:name="_Toc84690007"/>
      <w:bookmarkStart w:id="262" w:name="_Toc24758"/>
      <w:bookmarkStart w:id="263" w:name="_Toc83561896"/>
      <w:bookmarkStart w:id="264" w:name="_Toc17100"/>
      <w:bookmarkStart w:id="265" w:name="_Toc26133"/>
      <w:bookmarkStart w:id="266" w:name="_Toc1382"/>
      <w:bookmarkStart w:id="267" w:name="_Toc10305"/>
      <w:bookmarkStart w:id="268" w:name="_Toc16913"/>
      <w:bookmarkStart w:id="269" w:name="_Toc163"/>
      <w:bookmarkStart w:id="270" w:name="_Toc3323"/>
      <w:bookmarkStart w:id="271" w:name="_Toc12986"/>
      <w:bookmarkStart w:id="272" w:name="_Toc2028"/>
      <w:bookmarkStart w:id="273" w:name="_Toc11284"/>
      <w:bookmarkStart w:id="274" w:name="_Toc24386"/>
      <w:r>
        <w:rPr>
          <w:rFonts w:eastAsia="楷体_GB2312" w:cs="Times New Roman"/>
          <w:b/>
        </w:rPr>
        <w:t>（六）着力构建友好型社会环境</w:t>
      </w:r>
      <w:bookmarkEnd w:id="258"/>
      <w:r>
        <w:rPr>
          <w:rFonts w:eastAsia="楷体_GB2312" w:cs="Times New Roman"/>
          <w:b/>
        </w:rPr>
        <w:t>体系</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pPr>
        <w:pStyle w:val="19"/>
        <w:spacing w:after="0" w:line="580" w:lineRule="exact"/>
        <w:ind w:left="0" w:leftChars="0" w:firstLine="642" w:firstLineChars="200"/>
      </w:pPr>
      <w:r>
        <w:rPr>
          <w:b/>
          <w:bCs/>
        </w:rPr>
        <w:t>完善家庭支持体系。</w:t>
      </w:r>
      <w:r>
        <w:t>巩固和增强家庭养老功能，制定支持子女赡养照顾老人的政策措施，强化子女赡养老人的职责。大力开展健康家庭建设，充分发挥家庭在支持和促进老年人健康方面的独特作用，鼓励和引导家庭成员学习康复、护理技能，提高家庭照护能力。鼓励各类社会资源为失能老年人家庭提供所需支持性“喘息服务”。 支持居家养老服务机构设置家庭养老床位，探索建立子女护理照料假制度，在老年人患病住院治疗期间，鼓励用人单位支持其子女进行护理照料。构建多层次家政服务供给体系，加强家政从业人员的培训，推广家政从业人员持证上门服务，加强家政服务机构和家政从业人员可查询、可追溯、可评价的全过程追溯管理。</w:t>
      </w:r>
    </w:p>
    <w:p>
      <w:pPr>
        <w:spacing w:line="580" w:lineRule="exact"/>
        <w:ind w:firstLine="642" w:firstLineChars="200"/>
        <w:rPr>
          <w:rFonts w:cs="Times New Roman"/>
        </w:rPr>
      </w:pPr>
      <w:r>
        <w:rPr>
          <w:rFonts w:cs="Times New Roman"/>
          <w:b/>
          <w:bCs/>
          <w:szCs w:val="32"/>
        </w:rPr>
        <w:t>加强老年宜居之城建设。</w:t>
      </w:r>
      <w:r>
        <w:rPr>
          <w:rFonts w:cs="Times New Roman"/>
        </w:rPr>
        <w:t>深入推进“老年友好城市”建设。加强适老居住环境建设，引导老年人家庭对生活设施进行适老化改造和提升，加强老年人住宅区公共设施排查和无障碍改造，推进既有住宅加装电梯。支持适老化住宅建设，鼓励开发老年公寓、老少同居的新社区和有适老功能的新型住宅，推进养老社区建设。加强适老出行环境建设，提升公共交通适老性，加强公共设施无障碍建设和改造。持续推进无障碍社区、村、景区等创建工作。推进“花园邻里中心”增点扩面，打造15分钟便民生活圈。建立“丽水山居”民宿、旅游景区5分钟社会应急救护圈。</w:t>
      </w:r>
    </w:p>
    <w:p>
      <w:pPr>
        <w:spacing w:line="580" w:lineRule="exact"/>
        <w:ind w:firstLine="642" w:firstLineChars="200"/>
        <w:rPr>
          <w:rFonts w:cs="Times New Roman"/>
        </w:rPr>
      </w:pPr>
      <w:r>
        <w:rPr>
          <w:rFonts w:cs="Times New Roman"/>
          <w:b/>
          <w:bCs/>
        </w:rPr>
        <w:t>加强老年人社会优待。</w:t>
      </w:r>
      <w:r>
        <w:rPr>
          <w:rFonts w:cs="Times New Roman"/>
        </w:rPr>
        <w:t>推进老年人社会优待法治化进程，逐步健全老年人社会优待制度体系。推进非本地户籍常住老年人与本地户籍老年人同等享受社会优待。落实老年人医疗服务、政务、司法服务、交通出行等优待举措，为老年人特别是高龄、重病、残疾、失能老年人提供优先便利服务。推进各级各类公共文化服务设施向老年人免费或优惠开放，</w:t>
      </w:r>
      <w:r>
        <w:rPr>
          <w:rFonts w:cs="Times New Roman"/>
          <w:szCs w:val="32"/>
        </w:rPr>
        <w:t>鼓励与老年人日常生活密切相关的各类服务单位为老年提供优先、便利、优惠服务。</w:t>
      </w:r>
      <w:r>
        <w:rPr>
          <w:rFonts w:cs="Times New Roman"/>
        </w:rPr>
        <w:t>完善老年优待服务场所的优待标识，公布优待内容。</w:t>
      </w:r>
    </w:p>
    <w:p>
      <w:pPr>
        <w:spacing w:line="580" w:lineRule="exact"/>
        <w:ind w:firstLine="642" w:firstLineChars="200"/>
        <w:rPr>
          <w:rFonts w:cs="Times New Roman"/>
          <w:b/>
          <w:bCs/>
        </w:rPr>
      </w:pPr>
      <w:r>
        <w:rPr>
          <w:rFonts w:cs="Times New Roman"/>
          <w:b/>
          <w:bCs/>
        </w:rPr>
        <w:t>传承和弘扬孝亲敬老文化。</w:t>
      </w:r>
      <w:r>
        <w:rPr>
          <w:rFonts w:cs="Times New Roman"/>
          <w:szCs w:val="32"/>
        </w:rPr>
        <w:t>把敬老养老助老纳入社会公德、职业道德、家庭美德、个人品德建设，纳入文明城市、文明村镇、文明单位、文明校园、文明家庭考评，纳入干部考察内容。持续开展孝亲敬老文化进学校、进家庭、进机关、进社区，打造一批孝文化校园、孝文化村居、孝文化单位等，建立一批孝文化基地，建设一批孝文化主题公园。常态化开展孝贤人物评选活动。深化敬老月系列活动和“敬老文明号”创建活动，力争到2025年，机关事业单位、国有企业所属涉老窗口单位实现“敬老文明号”创建全覆盖。深入挖掘慈孝文化资源，广泛开展敬老养老助老主题教育活动，大力宣传孝亲敬老先进典型。</w:t>
      </w:r>
    </w:p>
    <w:p>
      <w:pPr>
        <w:pStyle w:val="2"/>
        <w:numPr>
          <w:ilvl w:val="0"/>
          <w:numId w:val="0"/>
        </w:numPr>
        <w:spacing w:line="580" w:lineRule="exact"/>
        <w:ind w:firstLine="642" w:firstLineChars="200"/>
        <w:rPr>
          <w:rFonts w:cs="Times New Roman"/>
          <w:szCs w:val="32"/>
        </w:rPr>
      </w:pPr>
      <w:r>
        <w:rPr>
          <w:rFonts w:cs="Times New Roman"/>
          <w:b/>
          <w:bCs/>
        </w:rPr>
        <w:t>加强老年人权益法治保障。</w:t>
      </w:r>
      <w:r>
        <w:rPr>
          <w:rFonts w:cs="Times New Roman"/>
          <w:szCs w:val="32"/>
        </w:rPr>
        <w:t>加强老龄法律法规普法宣传教育，提高老年人守法意识和依法维权意识，增强全社会依法保护老年人合法权益的意识。加大侵害老年人的违法行为打击力度，保障老年人身和财产安全。建立健全老年人法律援助服务网络，加强各级法律援助中心、公共法律援助站建设。扩大老年人法律援助事项范围，建立健全老年人法律援助“免审查”机制，推行“全市通办”制度。加强对经济困难老年人的司法救助，及时办理案件受理费的减、缓、免审批手续。做好老年人来信来访工作。</w:t>
      </w:r>
    </w:p>
    <w:p>
      <w:pPr>
        <w:pStyle w:val="3"/>
        <w:spacing w:before="0" w:after="0" w:line="580" w:lineRule="exact"/>
        <w:ind w:firstLine="640" w:firstLineChars="200"/>
        <w:jc w:val="both"/>
        <w:rPr>
          <w:rFonts w:eastAsia="黑体" w:cs="Times New Roman"/>
          <w:sz w:val="32"/>
          <w:szCs w:val="32"/>
        </w:rPr>
      </w:pPr>
      <w:bookmarkStart w:id="275" w:name="_Toc15026"/>
      <w:bookmarkStart w:id="276" w:name="_Toc83561897"/>
      <w:bookmarkStart w:id="277" w:name="_Toc13003"/>
      <w:bookmarkStart w:id="278" w:name="_Toc2022"/>
      <w:bookmarkStart w:id="279" w:name="_Toc20844"/>
      <w:bookmarkStart w:id="280" w:name="_Toc17004"/>
      <w:bookmarkStart w:id="281" w:name="_Toc84690008"/>
      <w:bookmarkStart w:id="282" w:name="_Toc12068"/>
      <w:bookmarkStart w:id="283" w:name="_Toc18475"/>
      <w:bookmarkStart w:id="284" w:name="_Toc6878"/>
      <w:bookmarkStart w:id="285" w:name="_Toc14237"/>
      <w:bookmarkStart w:id="286" w:name="_Toc22828"/>
      <w:bookmarkStart w:id="287" w:name="_Toc11799"/>
      <w:bookmarkStart w:id="288" w:name="_Toc14898"/>
      <w:bookmarkStart w:id="289" w:name="_Toc30916"/>
      <w:bookmarkStart w:id="290" w:name="_Toc22906"/>
      <w:bookmarkStart w:id="291" w:name="_Toc390"/>
      <w:bookmarkStart w:id="292" w:name="_Toc7509"/>
      <w:bookmarkStart w:id="293" w:name="_Toc29236"/>
      <w:r>
        <w:rPr>
          <w:rFonts w:eastAsia="黑体" w:cs="Times New Roman"/>
          <w:sz w:val="32"/>
          <w:szCs w:val="32"/>
        </w:rPr>
        <w:t>四、重点工程</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pPr>
        <w:spacing w:line="580" w:lineRule="exact"/>
        <w:ind w:firstLine="642" w:firstLineChars="200"/>
        <w:outlineLvl w:val="1"/>
        <w:rPr>
          <w:rFonts w:eastAsia="楷体_GB2312" w:cs="Times New Roman"/>
          <w:b/>
          <w:szCs w:val="32"/>
        </w:rPr>
      </w:pPr>
      <w:bookmarkStart w:id="294" w:name="_Toc29056"/>
      <w:bookmarkStart w:id="295" w:name="_Toc25721"/>
      <w:bookmarkStart w:id="296" w:name="_Toc26696"/>
      <w:bookmarkStart w:id="297" w:name="_Toc2164"/>
      <w:bookmarkStart w:id="298" w:name="_Toc23357"/>
      <w:bookmarkStart w:id="299" w:name="_Toc9280"/>
      <w:bookmarkStart w:id="300" w:name="_Toc23613"/>
      <w:bookmarkStart w:id="301" w:name="_Toc11949"/>
      <w:bookmarkStart w:id="302" w:name="_Toc84690009"/>
      <w:bookmarkStart w:id="303" w:name="_Toc6894"/>
      <w:bookmarkStart w:id="304" w:name="_Toc83561898"/>
      <w:bookmarkStart w:id="305" w:name="_Toc8311"/>
      <w:bookmarkStart w:id="306" w:name="_Toc13805"/>
      <w:bookmarkStart w:id="307" w:name="_Toc30305"/>
      <w:bookmarkStart w:id="308" w:name="_Toc15158"/>
      <w:bookmarkStart w:id="309" w:name="_Toc21292"/>
      <w:bookmarkStart w:id="310" w:name="_Toc15198"/>
      <w:bookmarkStart w:id="311" w:name="_Toc6948"/>
      <w:bookmarkStart w:id="312" w:name="_Toc3706"/>
      <w:r>
        <w:rPr>
          <w:rFonts w:eastAsia="楷体_GB2312" w:cs="Times New Roman"/>
          <w:b/>
          <w:szCs w:val="32"/>
        </w:rPr>
        <w:t>（一）全民健康素养提质工程</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pPr>
        <w:rPr>
          <w:rFonts w:cs="Times New Roman"/>
          <w:bCs/>
          <w:szCs w:val="32"/>
        </w:rPr>
      </w:pPr>
      <w:r>
        <w:rPr>
          <w:rFonts w:cs="Times New Roman"/>
          <w:bCs/>
          <w:szCs w:val="32"/>
        </w:rPr>
        <w:t xml:space="preserve">    以政府为主导，探索建立健康融入所有政策实施路径，开展公共政策、重大规划、重点项目健康影响评价。创建健康知识普及、全民健身、食品安全放心、糖尿病防治、中医药健康促进服务等五大健康行动的省级示范点。加快健康促进县建设进程，持续推进健康促进医院、健康促进学校建设，积极开展健康城市、村镇、家庭创建活动。认真做好合理膳食、无烟生活、科学就医、合理用药、卫生应急、食品安全、心理健康等主题健康教育工作。全面开展居民健康素养监测，加强健康素养与健康大数据的收集和利用研究。到2025年，开展公共政策健康影响评价的县（市、区）覆盖率达到80%以上；健康促进县（区）建设比例达80%以上，健康促进学校建设率达到80%，健康促进医院建设率达到95%，建成健康家庭达2万户。</w:t>
      </w:r>
      <w:bookmarkStart w:id="313" w:name="_Toc30806"/>
      <w:bookmarkStart w:id="314" w:name="_Toc9375"/>
      <w:bookmarkStart w:id="315" w:name="_Toc11564"/>
      <w:bookmarkStart w:id="316" w:name="_Toc29565"/>
      <w:bookmarkStart w:id="317" w:name="_Toc27454"/>
      <w:bookmarkStart w:id="318" w:name="_Toc23695"/>
      <w:bookmarkStart w:id="319" w:name="_Toc23341"/>
      <w:bookmarkStart w:id="320" w:name="_Toc32092"/>
      <w:bookmarkStart w:id="321" w:name="_Toc31992"/>
      <w:bookmarkStart w:id="322" w:name="_Toc4954"/>
      <w:bookmarkStart w:id="323" w:name="_Toc14858"/>
      <w:bookmarkStart w:id="324" w:name="_Toc24618"/>
      <w:bookmarkStart w:id="325" w:name="_Toc19517"/>
      <w:bookmarkStart w:id="326" w:name="_Toc18439"/>
      <w:bookmarkStart w:id="327" w:name="_Toc1633"/>
      <w:bookmarkStart w:id="328" w:name="_Toc16181"/>
      <w:bookmarkStart w:id="329" w:name="_Toc17830"/>
    </w:p>
    <w:p>
      <w:pPr>
        <w:pStyle w:val="4"/>
        <w:rPr>
          <w:rFonts w:eastAsia="楷体_GB2312" w:cs="Times New Roman"/>
          <w:b/>
          <w:szCs w:val="32"/>
        </w:rPr>
      </w:pPr>
      <w:r>
        <w:rPr>
          <w:rFonts w:cs="Times New Roman"/>
          <w:bCs/>
          <w:szCs w:val="32"/>
        </w:rPr>
        <w:t xml:space="preserve">   </w:t>
      </w:r>
      <w:bookmarkStart w:id="330" w:name="_Toc84690010"/>
      <w:r>
        <w:rPr>
          <w:rFonts w:eastAsia="楷体_GB2312" w:cs="Times New Roman"/>
          <w:b/>
          <w:szCs w:val="32"/>
        </w:rPr>
        <w:t>（二）社区嵌入式养老服务体系完善工程</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pPr>
        <w:spacing w:line="580" w:lineRule="exact"/>
        <w:ind w:firstLine="640" w:firstLineChars="200"/>
        <w:rPr>
          <w:rFonts w:cs="Times New Roman"/>
          <w:bCs/>
          <w:szCs w:val="32"/>
        </w:rPr>
      </w:pPr>
      <w:r>
        <w:rPr>
          <w:rFonts w:cs="Times New Roman"/>
          <w:bCs/>
          <w:szCs w:val="32"/>
        </w:rPr>
        <w:t>推动公共服务机构、便民服务设施、商业服务网点辐射所有养老社区、养老机构，推进社区物业延伸发展基础性、嵌入式服务。推动构建市区步行15分钟养老服务圈、农村步行20分钟养老服务圈，依托老年助餐点等，为老年人提供</w:t>
      </w:r>
      <w:r>
        <w:rPr>
          <w:rFonts w:cs="Times New Roman"/>
          <w:szCs w:val="32"/>
        </w:rPr>
        <w:t>助餐和配送餐服务</w:t>
      </w:r>
      <w:r>
        <w:rPr>
          <w:rFonts w:cs="Times New Roman"/>
          <w:bCs/>
          <w:szCs w:val="32"/>
        </w:rPr>
        <w:t>；依托社区卫生服务中心等医疗卫生机构，为老年人以及社区内的养老服务机构提供基本医疗卫生服务、基础护理、医养签约等服务；依托社区老年活动场所以及社区服务组织等，为老年人提供精神慰藉、心理疏导等精神服务；借助智能终端设备、智慧养老平台等科技力量，为老年人提供急救援助、安全防护、远程照护等服务；完善机构照护、短期托养、日间照护、居家照护等养老服务功能，开展志愿关爱、“喘息服务”、辅具推广等家庭养老服务。</w:t>
      </w:r>
    </w:p>
    <w:p>
      <w:pPr>
        <w:pStyle w:val="4"/>
        <w:spacing w:line="580" w:lineRule="exact"/>
        <w:ind w:firstLine="642" w:firstLineChars="200"/>
        <w:rPr>
          <w:rFonts w:eastAsia="楷体_GB2312" w:cs="Times New Roman"/>
          <w:b/>
        </w:rPr>
      </w:pPr>
      <w:bookmarkStart w:id="331" w:name="_Toc10701"/>
      <w:bookmarkStart w:id="332" w:name="_Toc24708"/>
      <w:bookmarkStart w:id="333" w:name="_Toc20427"/>
      <w:bookmarkStart w:id="334" w:name="_Toc1236"/>
      <w:bookmarkStart w:id="335" w:name="_Toc5968"/>
      <w:bookmarkStart w:id="336" w:name="_Toc16359"/>
      <w:bookmarkStart w:id="337" w:name="_Toc23868"/>
      <w:bookmarkStart w:id="338" w:name="_Toc83561899"/>
      <w:bookmarkStart w:id="339" w:name="_Toc18442"/>
      <w:bookmarkStart w:id="340" w:name="_Toc84690011"/>
      <w:bookmarkStart w:id="341" w:name="_Toc13357"/>
      <w:bookmarkStart w:id="342" w:name="_Toc31789"/>
      <w:bookmarkStart w:id="343" w:name="_Toc2002"/>
      <w:bookmarkStart w:id="344" w:name="_Toc13191"/>
      <w:bookmarkStart w:id="345" w:name="_Toc31651"/>
      <w:bookmarkStart w:id="346" w:name="_Toc14341"/>
      <w:r>
        <w:rPr>
          <w:rFonts w:eastAsia="楷体_GB2312" w:cs="Times New Roman"/>
          <w:b/>
        </w:rPr>
        <w:t>（三）康养产业发展示范工程</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pPr>
        <w:pStyle w:val="19"/>
        <w:spacing w:after="0" w:line="580" w:lineRule="exact"/>
        <w:ind w:left="0" w:leftChars="0" w:firstLine="640" w:firstLineChars="200"/>
        <w:rPr>
          <w:bCs/>
          <w:szCs w:val="32"/>
        </w:rPr>
      </w:pPr>
      <w:r>
        <w:rPr>
          <w:bCs/>
          <w:szCs w:val="32"/>
        </w:rPr>
        <w:t>依托丽水600米以上高山台地优势，结合独特的历史文化、生态旅游等资源，加快发展森林康养、气候康养、中医药康养、温泉康养、康养旅游，打造丽水特色康养产业体系。打造一批功能齐备、优势互补的“康养600”小镇，重点建设白云森林康养小镇、灵康杏福康旅小镇、壶镇古韵新潮小镇等20个特色小镇，形成丽水“康养600”体系。打造丽水市养老产业园，集聚发展生物提取、现代中药、康复辅助、适老智能家居产品制造业，促进养老与医疗、卫生、房地产、旅游等产业融合发展。打造一批“中国长寿之乡”品牌，提升中国长寿之乡服务业示范城市、养生名优产品、康养示范基地、乡情体验基地等。</w:t>
      </w:r>
    </w:p>
    <w:p>
      <w:pPr>
        <w:spacing w:line="580" w:lineRule="exact"/>
        <w:ind w:firstLine="642" w:firstLineChars="200"/>
        <w:outlineLvl w:val="1"/>
        <w:rPr>
          <w:rFonts w:eastAsia="楷体_GB2312" w:cs="Times New Roman"/>
          <w:b/>
          <w:szCs w:val="32"/>
        </w:rPr>
      </w:pPr>
      <w:bookmarkStart w:id="347" w:name="_Toc29931"/>
      <w:bookmarkStart w:id="348" w:name="_Toc84690012"/>
      <w:bookmarkStart w:id="349" w:name="_Toc24100"/>
      <w:bookmarkStart w:id="350" w:name="_Toc3036"/>
      <w:bookmarkStart w:id="351" w:name="_Toc18229"/>
      <w:bookmarkStart w:id="352" w:name="_Toc4366"/>
      <w:bookmarkStart w:id="353" w:name="_Toc32498"/>
      <w:bookmarkStart w:id="354" w:name="_Toc24433"/>
      <w:bookmarkStart w:id="355" w:name="_Toc25908"/>
      <w:bookmarkStart w:id="356" w:name="_Toc20226"/>
      <w:bookmarkStart w:id="357" w:name="_Toc25557"/>
      <w:bookmarkStart w:id="358" w:name="_Toc30616"/>
      <w:bookmarkStart w:id="359" w:name="_Toc29022"/>
      <w:bookmarkStart w:id="360" w:name="_Toc17057"/>
      <w:bookmarkStart w:id="361" w:name="_Toc32689"/>
      <w:bookmarkStart w:id="362" w:name="_Toc83561900"/>
      <w:r>
        <w:rPr>
          <w:rFonts w:eastAsia="楷体_GB2312" w:cs="Times New Roman"/>
          <w:b/>
          <w:szCs w:val="32"/>
        </w:rPr>
        <w:t>（四）智慧养老应用推广工程</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pPr>
        <w:spacing w:line="580" w:lineRule="exact"/>
        <w:ind w:firstLine="640" w:firstLineChars="200"/>
        <w:rPr>
          <w:rFonts w:cs="Times New Roman"/>
          <w:szCs w:val="32"/>
          <w:shd w:val="clear" w:color="auto" w:fill="FFFFFF"/>
        </w:rPr>
      </w:pPr>
      <w:bookmarkStart w:id="363" w:name="_Toc14480"/>
      <w:r>
        <w:rPr>
          <w:rFonts w:cs="Times New Roman"/>
          <w:bCs/>
          <w:szCs w:val="32"/>
        </w:rPr>
        <w:t>推进应对人口老龄化领域数字化改革，打造数字化养老服务场景，提高数字服务决策、服务监管、服务供需对接的能力。开展“数字化助老丽水样本”行动，以社区服务、到家服务、交通出行、政务服务一键帮办等方面为重点，帮助老年人更好适应并融入互联网社会。加快构建5分钟应急救急圈，迭代升级智慧流动医院、“浙丽保”等智慧医疗平台。搭建“丽水居养”智慧养老服务平台，与“96345”便民服务平台融合发展，为老年人提供“菜单式”多元养老服务。</w:t>
      </w:r>
      <w:r>
        <w:rPr>
          <w:rFonts w:cs="Times New Roman"/>
          <w:szCs w:val="32"/>
        </w:rPr>
        <w:t>运用数字化手段，建设“银龄卫士”服务平台，为老年人提供防欺诈、防走失、防意外等保障。</w:t>
      </w:r>
      <w:r>
        <w:rPr>
          <w:rFonts w:cs="Times New Roman"/>
          <w:bCs/>
          <w:szCs w:val="32"/>
        </w:rPr>
        <w:t>建设一批智慧养老院，推进智慧产品在养老服务机构的应用，到2025年全市至少建设20家智慧养老院。支持家庭安装智能监控设备等智慧终端，为60岁以上老年痴呆症患者配置防走失黄手环，为60岁以上独居老人住宅增设联网式火灾探测器。</w:t>
      </w:r>
      <w:r>
        <w:rPr>
          <w:rFonts w:cs="Times New Roman"/>
          <w:szCs w:val="32"/>
          <w:shd w:val="clear" w:color="auto" w:fill="FFFFFF"/>
        </w:rPr>
        <w:t>依托老年大学（学校、学习点）、养老服务机构等，普及智能技术知识和技能，提升老年人信息获取、识别和使用能力。</w:t>
      </w:r>
      <w:bookmarkEnd w:id="363"/>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tcPr>
          <w:p>
            <w:pPr>
              <w:spacing w:line="360" w:lineRule="auto"/>
              <w:jc w:val="center"/>
              <w:rPr>
                <w:rFonts w:eastAsia="黑体" w:cs="Times New Roman"/>
                <w:sz w:val="24"/>
              </w:rPr>
            </w:pPr>
            <w:r>
              <w:rPr>
                <w:rFonts w:eastAsia="黑体" w:cs="Times New Roman"/>
                <w:bCs/>
                <w:sz w:val="24"/>
              </w:rPr>
              <w:t>专栏7 智慧养老应用推广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tcPr>
          <w:p>
            <w:pPr>
              <w:rPr>
                <w:rFonts w:cs="Times New Roman"/>
                <w:sz w:val="24"/>
                <w:shd w:val="clear" w:color="auto" w:fill="FFFFFF"/>
              </w:rPr>
            </w:pPr>
            <w:r>
              <w:rPr>
                <w:rFonts w:cs="Times New Roman"/>
                <w:b/>
                <w:bCs/>
                <w:sz w:val="24"/>
              </w:rPr>
              <w:t xml:space="preserve">    智慧养老服务。</w:t>
            </w:r>
            <w:r>
              <w:rPr>
                <w:rFonts w:cs="Times New Roman"/>
                <w:sz w:val="24"/>
                <w:shd w:val="clear" w:color="auto" w:fill="FFFFFF"/>
              </w:rPr>
              <w:t>深化“丽水居养”综合服务平台，完善养老服务数据库，实现数据开放共享和精准推送。鼓励养老机构运用智慧养老系统进行日常管理，并将服务延伸至社区居家。支持家庭安装智能终端设备，利用智能化手段形成“服务对象申请－派单－服务－审核支付－评价”等闭环式服务体系，为老年人提供“菜单式”多元化养老服务。</w:t>
            </w:r>
          </w:p>
          <w:p>
            <w:pPr>
              <w:ind w:firstLine="481" w:firstLineChars="200"/>
              <w:rPr>
                <w:rFonts w:cs="Times New Roman"/>
                <w:sz w:val="24"/>
              </w:rPr>
            </w:pPr>
            <w:r>
              <w:rPr>
                <w:rFonts w:cs="Times New Roman"/>
                <w:b/>
                <w:bCs/>
                <w:sz w:val="24"/>
              </w:rPr>
              <w:t>数字健康“医养通”。</w:t>
            </w:r>
            <w:r>
              <w:rPr>
                <w:rFonts w:cs="Times New Roman"/>
                <w:sz w:val="24"/>
              </w:rPr>
              <w:t>采用“互联网+”创新模式，通过华数4K机顶盒，智能电视实现在线居家医养服务，使电视用户在家用电视视频与医疗专家面对面，把专业的医生“请”到家，足不出户面对面咨询，获取医疗建议，消除了与医生在时间和空间上的束缚，拉近彼此关怀的距离，老年人不出门就可以享受到居家养老、远程电视沟通和心理关怀。附近医疗机构还会针对医生的建议送药上门。</w:t>
            </w:r>
          </w:p>
          <w:p>
            <w:pPr>
              <w:ind w:firstLine="481" w:firstLineChars="200"/>
              <w:rPr>
                <w:rFonts w:cs="Times New Roman"/>
                <w:sz w:val="24"/>
              </w:rPr>
            </w:pPr>
            <w:r>
              <w:rPr>
                <w:rFonts w:cs="Times New Roman"/>
                <w:b/>
                <w:sz w:val="24"/>
              </w:rPr>
              <w:t>智慧流动医院。</w:t>
            </w:r>
            <w:r>
              <w:rPr>
                <w:rFonts w:cs="Times New Roman"/>
                <w:sz w:val="24"/>
              </w:rPr>
              <w:t>建设“五分钟社会应急救护圈”，在人群密集公共场所、乡镇（村）卫生院（室）、景区民宿等区域新增配备自动体外除颤器（AED），完成专业应急救护人员培训。通过微信小程序“AED设备导航”搜索，系统会优先推荐最近的设备，也可以根据个人需求选择其他点位的设备，选中后会显示具体位置，并能通过高德地图或腾讯地图直接导航到设备位置。</w:t>
            </w:r>
          </w:p>
          <w:p>
            <w:pPr>
              <w:ind w:firstLine="481" w:firstLineChars="200"/>
              <w:rPr>
                <w:rFonts w:cs="Times New Roman"/>
                <w:sz w:val="24"/>
              </w:rPr>
            </w:pPr>
            <w:r>
              <w:rPr>
                <w:rFonts w:cs="Times New Roman"/>
                <w:b/>
                <w:sz w:val="24"/>
              </w:rPr>
              <w:t>老年数字教育。</w:t>
            </w:r>
            <w:r>
              <w:rPr>
                <w:rFonts w:cs="Times New Roman"/>
                <w:sz w:val="24"/>
              </w:rPr>
              <w:t>老年电视大学与浙江华数广电网络股份有限公司丽水分公司开展省数字化远程教育学院试点工作，依托新建的华数电视综合门户，共建“远程教育学院”，开展老年教育培训、老年健康宣传等。到2025年，全市建设省数字化远程教育学院样板20个。</w:t>
            </w:r>
          </w:p>
          <w:p>
            <w:pPr>
              <w:ind w:firstLine="481" w:firstLineChars="200"/>
              <w:rPr>
                <w:rFonts w:cs="Times New Roman"/>
                <w:sz w:val="24"/>
              </w:rPr>
            </w:pPr>
            <w:r>
              <w:rPr>
                <w:rFonts w:cs="Times New Roman"/>
                <w:b/>
                <w:sz w:val="24"/>
              </w:rPr>
              <w:t>数字化助老行动。</w:t>
            </w:r>
            <w:r>
              <w:rPr>
                <w:rFonts w:cs="Times New Roman"/>
                <w:sz w:val="24"/>
              </w:rPr>
              <w:t>设置“小棉袄助老服务站”。积极推进“网订店送”工程，提供上门送药服务。推出高德“助老打车服务包”。推进老年人共享数字服务，优化“健康码”管理，推进老年学校、医院、养老院等公共服务机构资源数字化，积极发展老年线上教育、线上图书馆、互联网医院等，建立长效机制。</w:t>
            </w:r>
          </w:p>
          <w:p>
            <w:pPr>
              <w:ind w:firstLine="481" w:firstLineChars="200"/>
              <w:rPr>
                <w:rFonts w:cs="Times New Roman"/>
                <w:sz w:val="24"/>
              </w:rPr>
            </w:pPr>
            <w:r>
              <w:rPr>
                <w:rFonts w:cs="Times New Roman"/>
                <w:b/>
                <w:sz w:val="24"/>
              </w:rPr>
              <w:t>家庭养老床位。</w:t>
            </w:r>
            <w:r>
              <w:rPr>
                <w:rFonts w:cs="Times New Roman"/>
                <w:sz w:val="24"/>
              </w:rPr>
              <w:t>依托烟雾传感器、门磁传感器、红外传感器、智能床垫等智慧健康养老产品，提供紧急呼叫、环境监测、行为感知等服务，满足居家老年人享受专业照护服务的需求。</w:t>
            </w:r>
          </w:p>
          <w:p>
            <w:pPr>
              <w:ind w:firstLine="481" w:firstLineChars="200"/>
              <w:rPr>
                <w:rFonts w:cs="Times New Roman"/>
                <w:sz w:val="24"/>
              </w:rPr>
            </w:pPr>
            <w:r>
              <w:rPr>
                <w:rFonts w:cs="Times New Roman"/>
                <w:b/>
                <w:sz w:val="24"/>
              </w:rPr>
              <w:t>“时间银行”互助养老服务。</w:t>
            </w:r>
            <w:r>
              <w:rPr>
                <w:rFonts w:cs="Times New Roman"/>
                <w:sz w:val="24"/>
              </w:rPr>
              <w:t>运用互联网、大数据、区块链等技术，赋能互助养老，创新低龄老年人服务高龄老年人、伙伴式陪伴等互助养老模式。</w:t>
            </w:r>
          </w:p>
          <w:p>
            <w:pPr>
              <w:ind w:firstLine="481" w:firstLineChars="200"/>
              <w:rPr>
                <w:rFonts w:cs="Times New Roman"/>
                <w:sz w:val="24"/>
              </w:rPr>
            </w:pPr>
            <w:r>
              <w:rPr>
                <w:rFonts w:cs="Times New Roman"/>
                <w:b/>
                <w:sz w:val="24"/>
              </w:rPr>
              <w:t>老年人能力评估。</w:t>
            </w:r>
            <w:r>
              <w:rPr>
                <w:rFonts w:cs="Times New Roman"/>
                <w:sz w:val="24"/>
              </w:rPr>
              <w:t>运用摄像头、毫米波雷达、红外传感器等智能产品赋能老年人能力评估，提供智慧化老年人能力评估服务。</w:t>
            </w:r>
          </w:p>
        </w:tc>
      </w:tr>
    </w:tbl>
    <w:p>
      <w:pPr>
        <w:pStyle w:val="4"/>
        <w:spacing w:line="580" w:lineRule="exact"/>
        <w:ind w:firstLine="642" w:firstLineChars="200"/>
        <w:rPr>
          <w:rFonts w:eastAsia="楷体_GB2312" w:cs="Times New Roman"/>
          <w:b/>
        </w:rPr>
      </w:pPr>
      <w:bookmarkStart w:id="364" w:name="_Toc7064"/>
      <w:bookmarkStart w:id="365" w:name="_Toc22101"/>
      <w:bookmarkStart w:id="366" w:name="_Toc4737"/>
      <w:bookmarkStart w:id="367" w:name="_Toc7541"/>
      <w:bookmarkStart w:id="368" w:name="_Toc83561901"/>
      <w:bookmarkStart w:id="369" w:name="_Toc1185"/>
      <w:bookmarkStart w:id="370" w:name="_Toc8575"/>
      <w:bookmarkStart w:id="371" w:name="_Toc10166"/>
      <w:bookmarkStart w:id="372" w:name="_Toc84690013"/>
      <w:bookmarkStart w:id="373" w:name="_Toc27903"/>
      <w:bookmarkStart w:id="374" w:name="_Toc9636"/>
      <w:bookmarkStart w:id="375" w:name="_Toc23580"/>
      <w:bookmarkStart w:id="376" w:name="_Toc17282"/>
      <w:bookmarkStart w:id="377" w:name="_Toc14952"/>
      <w:bookmarkStart w:id="378" w:name="_Toc3854"/>
      <w:bookmarkStart w:id="379" w:name="_Toc32604"/>
      <w:r>
        <w:rPr>
          <w:rFonts w:eastAsia="楷体_GB2312" w:cs="Times New Roman"/>
          <w:b/>
        </w:rPr>
        <w:t>（五）老年友好型社区打造工程</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18"/>
        <w:widowControl/>
        <w:spacing w:beforeAutospacing="0" w:afterAutospacing="0" w:line="580" w:lineRule="exact"/>
        <w:ind w:firstLine="640" w:firstLineChars="200"/>
        <w:rPr>
          <w:bCs/>
          <w:kern w:val="2"/>
          <w:sz w:val="32"/>
          <w:szCs w:val="32"/>
        </w:rPr>
      </w:pPr>
      <w:r>
        <w:rPr>
          <w:bCs/>
          <w:kern w:val="2"/>
          <w:sz w:val="32"/>
          <w:szCs w:val="32"/>
        </w:rPr>
        <w:t>统筹未来邻里、未来教育、未来健康、未来交通、未来服务等与老年生活密切相关的“建设场景”，积极推动未来社区试点引领老年友好社区建设，发挥未来老年友好社区的示范作用。以更好地满足老年人在居住环境、日常出行、健康服务、养老服务、社会参与、精神文化生活等方面的需要为目标，实现有社会工作队伍、有日间照料机构、有紧急救援系统、有社区探访制度、有志愿服务者、有社会综合家政服务企业和养老服务企业、有老年大学“七个有”标准，提升社区服务能力和水平，切实增强老年人的获得感、幸福感、安全感。到2035年，城乡实现老年友好型社区全覆盖。</w:t>
      </w:r>
    </w:p>
    <w:p>
      <w:pPr>
        <w:pStyle w:val="4"/>
        <w:spacing w:line="580" w:lineRule="exact"/>
        <w:ind w:firstLine="642" w:firstLineChars="200"/>
        <w:rPr>
          <w:rFonts w:eastAsia="楷体_GB2312" w:cs="Times New Roman"/>
          <w:b/>
        </w:rPr>
      </w:pPr>
      <w:bookmarkStart w:id="380" w:name="_Toc9596"/>
      <w:bookmarkStart w:id="381" w:name="_Toc23998"/>
      <w:bookmarkStart w:id="382" w:name="_Toc16161"/>
      <w:bookmarkStart w:id="383" w:name="_Toc31391"/>
      <w:bookmarkStart w:id="384" w:name="_Toc24763"/>
      <w:bookmarkStart w:id="385" w:name="_Toc26138"/>
      <w:bookmarkStart w:id="386" w:name="_Toc7680"/>
      <w:bookmarkStart w:id="387" w:name="_Toc16766"/>
      <w:bookmarkStart w:id="388" w:name="_Toc84690014"/>
      <w:bookmarkStart w:id="389" w:name="_Toc11897"/>
      <w:bookmarkStart w:id="390" w:name="_Toc9785"/>
      <w:bookmarkStart w:id="391" w:name="_Toc3103"/>
      <w:bookmarkStart w:id="392" w:name="_Toc27930"/>
      <w:bookmarkStart w:id="393" w:name="_Toc83561902"/>
      <w:bookmarkStart w:id="394" w:name="_Toc12037"/>
      <w:bookmarkStart w:id="395" w:name="_Toc20219"/>
      <w:bookmarkStart w:id="396" w:name="_Toc474"/>
      <w:bookmarkStart w:id="397" w:name="_Toc10451"/>
      <w:r>
        <w:rPr>
          <w:rFonts w:eastAsia="楷体_GB2312" w:cs="Times New Roman"/>
          <w:b/>
        </w:rPr>
        <w:t>（六）普惠托育服务体系健全工程</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pPr>
        <w:pStyle w:val="19"/>
        <w:spacing w:after="0" w:line="580" w:lineRule="exact"/>
        <w:ind w:left="0" w:leftChars="0" w:firstLine="640" w:firstLineChars="200"/>
      </w:pPr>
      <w:r>
        <w:t>实施积极应对人口老龄化国家战略，以“一老一小”为重点完善人口服务体系，坚持“政府引导、家庭为主、多方参与、分类指导”，建立以家庭为基础、社区为依托、机构为补充的普惠托育服务体系。鼓励依托社区、幼儿园、妇幼保健机构等新建和改扩建嵌入式、分布式、连锁化、专业化的托育服务设施。支持社会力量新建、改扩建一批嵌入式、分布式、连锁化、专业化的托育服务设施，提供全日托、半日托、计时托、临时托等多样化的普惠托育服务。支持有条件的工业（产业）园区、用人单位等利用自有土地或设施新建、改扩建托育服务设施，普惠托位要向社会开放提供。培育承担一定指导功能的示范性托育服务机构，发展互联网直播互动式家庭育儿服务。充分发挥丽水学院等院校人才培养功能，积极开展保育知识、技能等培训，设置相关专业，开展家庭科学育儿培训指导。到2025年，每个县（市、区）要建成1家以上省级示范单位，婴幼儿照护服务体系、标准规范体系和覆盖城乡的服务体系基本健全，婴幼儿健康管理率达到95%以上，婴幼儿家长科学育儿知识率达到90%以上。</w:t>
      </w:r>
    </w:p>
    <w:p>
      <w:pPr>
        <w:spacing w:line="580" w:lineRule="exact"/>
        <w:ind w:firstLine="642" w:firstLineChars="200"/>
        <w:outlineLvl w:val="1"/>
        <w:rPr>
          <w:rFonts w:eastAsia="楷体_GB2312" w:cs="Times New Roman"/>
          <w:b/>
          <w:szCs w:val="32"/>
        </w:rPr>
      </w:pPr>
      <w:bookmarkStart w:id="398" w:name="_Toc11663"/>
      <w:bookmarkStart w:id="399" w:name="_Toc29818"/>
      <w:bookmarkStart w:id="400" w:name="_Toc2958"/>
      <w:bookmarkStart w:id="401" w:name="_Toc3702"/>
      <w:bookmarkStart w:id="402" w:name="_Toc2845"/>
      <w:bookmarkStart w:id="403" w:name="_Toc4823"/>
      <w:bookmarkStart w:id="404" w:name="_Toc31073"/>
      <w:bookmarkStart w:id="405" w:name="_Toc18090"/>
      <w:bookmarkStart w:id="406" w:name="_Toc22335"/>
      <w:bookmarkStart w:id="407" w:name="_Toc5373"/>
      <w:bookmarkStart w:id="408" w:name="_Toc13684"/>
      <w:bookmarkStart w:id="409" w:name="_Toc27010"/>
      <w:bookmarkStart w:id="410" w:name="_Toc15915"/>
      <w:bookmarkStart w:id="411" w:name="_Toc9071"/>
      <w:bookmarkStart w:id="412" w:name="_Toc83561903"/>
      <w:bookmarkStart w:id="413" w:name="_Toc17185"/>
      <w:bookmarkStart w:id="414" w:name="_Toc28528"/>
      <w:bookmarkStart w:id="415" w:name="_Toc84690015"/>
      <w:bookmarkStart w:id="416" w:name="_Toc5544"/>
      <w:r>
        <w:rPr>
          <w:rFonts w:eastAsia="楷体_GB2312" w:cs="Times New Roman"/>
          <w:b/>
          <w:szCs w:val="32"/>
        </w:rPr>
        <w:t>（七）为老服务队伍增量工程</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pPr>
        <w:spacing w:line="580" w:lineRule="exact"/>
        <w:ind w:firstLine="640" w:firstLineChars="200"/>
        <w:rPr>
          <w:rFonts w:cs="Times New Roman"/>
          <w:szCs w:val="32"/>
        </w:rPr>
      </w:pPr>
      <w:r>
        <w:rPr>
          <w:rFonts w:cs="Times New Roman"/>
          <w:szCs w:val="32"/>
          <w:shd w:val="clear" w:color="auto" w:fill="FFFFFF"/>
        </w:rPr>
        <w:t>依托在丽高等院校及中等职业技术学校、技工院校，加快老年医学、康复、护理、营养、心理和社会工作等专业人才的培育，确定一批养老护理员实训基地和技能等级认定机构，建设面向全国的老年医养护人才培养基地。实施养老行业精英人才培养计划，聚焦涉老部门业务骨干和养老机构投资运营等管理人才培养，</w:t>
      </w:r>
      <w:r>
        <w:rPr>
          <w:rFonts w:cs="Times New Roman"/>
          <w:szCs w:val="32"/>
        </w:rPr>
        <w:t>提高养老服务人才队伍专业化和职业化水平。</w:t>
      </w:r>
      <w:r>
        <w:rPr>
          <w:rFonts w:cs="Times New Roman"/>
          <w:szCs w:val="32"/>
          <w:shd w:val="clear" w:color="auto" w:fill="FFFFFF"/>
        </w:rPr>
        <w:t>开展市级养老服务领域专业技术人才评定，打通养老服务机构医护人员职业晋升通道。</w:t>
      </w:r>
      <w:r>
        <w:rPr>
          <w:rFonts w:cs="Times New Roman"/>
          <w:szCs w:val="32"/>
        </w:rPr>
        <w:t>提高养老服务专业人员的待遇，完善薪酬动态调整机制。营造尊重养老服务人员的社会氛围。探索对全市养老院进行星级评价，开展十佳养老院、十佳养老院长、十佳养老护理员等养老领域先进单位和个人表彰活动，营造重视和尊重人才的良好社会氛围。探索养老志愿服务“时间银行”，鼓励和引导志愿者积极参与各类为老服务，弥补专业护理员不足的矛盾。到2025年，全市培育养老行业精英人才150名，评定健康养生养老产业精英50名，每万名老年人拥有持证养老护理员达到25人。</w:t>
      </w:r>
    </w:p>
    <w:p>
      <w:pPr>
        <w:pStyle w:val="3"/>
        <w:spacing w:before="0" w:after="0" w:line="580" w:lineRule="exact"/>
        <w:ind w:firstLine="642" w:firstLineChars="200"/>
        <w:jc w:val="both"/>
        <w:rPr>
          <w:rFonts w:eastAsia="仿宋_GB2312" w:cs="Times New Roman"/>
          <w:b/>
          <w:bCs/>
          <w:kern w:val="2"/>
          <w:sz w:val="32"/>
          <w:szCs w:val="32"/>
        </w:rPr>
      </w:pPr>
      <w:bookmarkStart w:id="417" w:name="_Toc12088"/>
      <w:bookmarkStart w:id="418" w:name="_Toc28801"/>
      <w:bookmarkStart w:id="419" w:name="_Toc23086"/>
      <w:bookmarkStart w:id="420" w:name="_Toc15505"/>
      <w:bookmarkStart w:id="421" w:name="_Toc83561904"/>
      <w:bookmarkStart w:id="422" w:name="_Toc27188"/>
      <w:bookmarkStart w:id="423" w:name="_Toc1056"/>
      <w:bookmarkStart w:id="424" w:name="_Toc20362"/>
      <w:bookmarkStart w:id="425" w:name="_Toc84690016"/>
      <w:bookmarkStart w:id="426" w:name="_Toc13013"/>
      <w:bookmarkStart w:id="427" w:name="_Toc6434"/>
      <w:bookmarkStart w:id="428" w:name="_Toc29430"/>
      <w:bookmarkStart w:id="429" w:name="_Toc22788"/>
      <w:bookmarkStart w:id="430" w:name="_Toc30415"/>
      <w:bookmarkStart w:id="431" w:name="_Toc9421"/>
      <w:bookmarkStart w:id="432" w:name="_Toc1133"/>
      <w:bookmarkStart w:id="433" w:name="_Toc21117"/>
      <w:bookmarkStart w:id="434" w:name="_Toc17212"/>
      <w:bookmarkStart w:id="435" w:name="_Toc336"/>
      <w:r>
        <w:rPr>
          <w:rFonts w:eastAsia="楷体_GB2312" w:cs="Times New Roman"/>
          <w:b/>
          <w:kern w:val="2"/>
          <w:sz w:val="32"/>
          <w:szCs w:val="32"/>
        </w:rPr>
        <w:t>（八）“长寿之乡”建设标准体系构建工程</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
      <w:pPr>
        <w:spacing w:line="580" w:lineRule="exact"/>
        <w:ind w:firstLine="640" w:firstLineChars="200"/>
        <w:rPr>
          <w:rFonts w:cs="Times New Roman"/>
          <w:szCs w:val="32"/>
        </w:rPr>
      </w:pPr>
      <w:r>
        <w:rPr>
          <w:rFonts w:cs="Times New Roman"/>
        </w:rPr>
        <w:t>充分发挥丽水唯一地级市长寿之乡优势，不断拓宽“绿水青山就是金山银山”转化通道，进一步扩大和提升丽水长寿之乡的品牌影响力、产业带动力和市场竞争力。以建设大花园最美核心区为目标，构建独具特色的“秀山丽水”指数标准体系。以创建幸福宜居之城为目标，从生活环境、居住环境、出行环境、公共环境等多方面构建全年龄段共享的安全、便利、舒适的宜居标准。以建设健康养生福地为目标，构建健康促进标准。以打造康养产业新高地为目标，构建康养产业标准。以打造中国最美的长寿之乡样板为目标，构建敬老孝亲的社会行为规范。</w:t>
      </w:r>
      <w:r>
        <w:rPr>
          <w:rFonts w:cs="Times New Roman"/>
          <w:szCs w:val="32"/>
        </w:rPr>
        <w:t>以创新引领为目标，构建具有特色的创新性政策、机制标准。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22" w:type="dxa"/>
            <w:shd w:val="clear" w:color="auto" w:fill="FFFFFF"/>
          </w:tcPr>
          <w:p>
            <w:pPr>
              <w:spacing w:line="360" w:lineRule="auto"/>
              <w:jc w:val="center"/>
              <w:rPr>
                <w:rFonts w:eastAsia="黑体" w:cs="Times New Roman"/>
                <w:sz w:val="24"/>
              </w:rPr>
            </w:pPr>
            <w:r>
              <w:rPr>
                <w:rFonts w:eastAsia="黑体" w:cs="Times New Roman"/>
                <w:bCs/>
                <w:sz w:val="24"/>
              </w:rPr>
              <w:t>专栏8 丽水长寿之乡建设标准体系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FFFFFF"/>
          </w:tcPr>
          <w:p>
            <w:pPr>
              <w:rPr>
                <w:rFonts w:cs="Times New Roman"/>
                <w:bCs/>
                <w:sz w:val="24"/>
                <w:shd w:val="clear" w:color="auto" w:fill="FFFFFF"/>
              </w:rPr>
            </w:pPr>
            <w:r>
              <w:rPr>
                <w:rFonts w:cs="Times New Roman"/>
                <w:b/>
                <w:bCs/>
                <w:sz w:val="24"/>
                <w:shd w:val="clear" w:color="auto" w:fill="FFFFFF"/>
              </w:rPr>
              <w:t xml:space="preserve">    “秀山丽水”标准（12项）。</w:t>
            </w:r>
            <w:r>
              <w:rPr>
                <w:rFonts w:cs="Times New Roman"/>
                <w:bCs/>
                <w:sz w:val="24"/>
                <w:shd w:val="clear" w:color="auto" w:fill="FFFFFF"/>
              </w:rPr>
              <w:t>包括长寿之乡生活环境质量标准、空气质量健康指数（AQHI）技术规定、长寿之乡农药化肥准入标准（对标欧盟标准）、花园乡村建设指南、花园田园建设指南、丽水市美丽城市创建标准、丽水市大花园瓯江绿道建设细则、丽水市瓯江大花园绿道建设标准指引、花园庭院建设指南、国家公园生态环境状况监测导则、美丽河湖建设规范、养生气候适宜度评价规范。</w:t>
            </w:r>
          </w:p>
          <w:p>
            <w:pPr>
              <w:rPr>
                <w:rFonts w:cs="Times New Roman"/>
                <w:bCs/>
                <w:sz w:val="24"/>
                <w:shd w:val="clear" w:color="auto" w:fill="FFFFFF"/>
              </w:rPr>
            </w:pPr>
            <w:r>
              <w:rPr>
                <w:rFonts w:cs="Times New Roman"/>
                <w:bCs/>
                <w:sz w:val="24"/>
                <w:shd w:val="clear" w:color="auto" w:fill="FFFFFF"/>
              </w:rPr>
              <w:t xml:space="preserve">    </w:t>
            </w:r>
            <w:r>
              <w:rPr>
                <w:rFonts w:cs="Times New Roman"/>
                <w:b/>
                <w:bCs/>
                <w:sz w:val="24"/>
                <w:shd w:val="clear" w:color="auto" w:fill="FFFFFF"/>
              </w:rPr>
              <w:t>幸福宜居环境标准（7项）。</w:t>
            </w:r>
            <w:r>
              <w:rPr>
                <w:rFonts w:cs="Times New Roman"/>
                <w:bCs/>
                <w:sz w:val="24"/>
                <w:shd w:val="clear" w:color="auto" w:fill="FFFFFF"/>
              </w:rPr>
              <w:t>包括长寿之乡老年人家庭适老化改造标准、长寿之乡公共建筑设施及城乡社区适老化标准、长寿之乡就医环境设施无障碍标准、丽水市公共区域“AED”建设标准、长寿之乡旅游景区适老化标准、长寿之乡公共交通设施适老化标准、无障碍四进工作规范。</w:t>
            </w:r>
          </w:p>
          <w:p>
            <w:pPr>
              <w:rPr>
                <w:rFonts w:cs="Times New Roman"/>
                <w:bCs/>
                <w:sz w:val="24"/>
                <w:shd w:val="clear" w:color="auto" w:fill="FFFFFF"/>
              </w:rPr>
            </w:pPr>
            <w:r>
              <w:rPr>
                <w:rFonts w:cs="Times New Roman"/>
                <w:bCs/>
                <w:sz w:val="24"/>
                <w:shd w:val="clear" w:color="auto" w:fill="FFFFFF"/>
              </w:rPr>
              <w:t xml:space="preserve">    </w:t>
            </w:r>
            <w:r>
              <w:rPr>
                <w:rFonts w:cs="Times New Roman"/>
                <w:b/>
                <w:bCs/>
                <w:sz w:val="24"/>
                <w:shd w:val="clear" w:color="auto" w:fill="FFFFFF"/>
              </w:rPr>
              <w:t>健康促进标准（21项）。</w:t>
            </w:r>
            <w:r>
              <w:rPr>
                <w:rFonts w:cs="Times New Roman"/>
                <w:bCs/>
                <w:sz w:val="24"/>
                <w:shd w:val="clear" w:color="auto" w:fill="FFFFFF"/>
              </w:rPr>
              <w:t>包括长寿之乡中小学健康知识普及指南、餐饮行业经营健康标准、老年食堂服务规范、公众健康知识宣传教育指引、丽水中药养生指引、无蚊村建设与评价规范、健康单位建设标准、长寿之乡健康乡镇（村）、社区建设标准、长寿之乡市民心理健康标准、长寿之乡社会心理服务体系建设规范、长寿之乡健身运动指引、长寿之乡体育旅游指引、长寿之乡基层医疗机构院内开展医养结合服务标准、处州养生菜制作规范、长寿之乡公共政策健康影响评价标准、长寿之乡智慧医疗服务规范、丽水“明厨亮灶”系列标准、食用农产品市场销售环节快速检测管理规范、绿色储粮（控温和制氮气调）技术规范、无烟单位建设标准、国民绿色生活方式指南。</w:t>
            </w:r>
          </w:p>
          <w:p>
            <w:pPr>
              <w:rPr>
                <w:rFonts w:cs="Times New Roman"/>
                <w:bCs/>
                <w:sz w:val="24"/>
                <w:shd w:val="clear" w:color="auto" w:fill="FFFFFF"/>
              </w:rPr>
            </w:pPr>
            <w:r>
              <w:rPr>
                <w:rFonts w:cs="Times New Roman"/>
                <w:bCs/>
                <w:sz w:val="24"/>
                <w:shd w:val="clear" w:color="auto" w:fill="FFFFFF"/>
              </w:rPr>
              <w:t xml:space="preserve">    </w:t>
            </w:r>
            <w:r>
              <w:rPr>
                <w:rFonts w:cs="Times New Roman"/>
                <w:b/>
                <w:bCs/>
                <w:sz w:val="24"/>
                <w:shd w:val="clear" w:color="auto" w:fill="FFFFFF"/>
              </w:rPr>
              <w:t>健康产业标准（17项）。</w:t>
            </w:r>
            <w:r>
              <w:rPr>
                <w:rFonts w:cs="Times New Roman"/>
                <w:bCs/>
                <w:sz w:val="24"/>
                <w:shd w:val="clear" w:color="auto" w:fill="FFFFFF"/>
              </w:rPr>
              <w:t>包括气候养生基地建设指南、丽水山景服务与管理规范、处州特色小吃标准、长寿之乡康养联合体建设和服务规范、长寿之乡健康养生旅游导引、长寿之乡旅居养生项目建设标准、长寿之乡中医药养生示范基地建设标准、长寿之乡老年玩具发展指南、“丽水山居”民宿服务要求与评价规范、六养标准（水养、食养、体养、文养、药养、气养）、丽水山耕标准“升级版”、山地云海景观分类标准、生态产品价值核算指南。</w:t>
            </w:r>
          </w:p>
          <w:p>
            <w:pPr>
              <w:rPr>
                <w:rFonts w:cs="Times New Roman"/>
                <w:bCs/>
                <w:sz w:val="24"/>
                <w:shd w:val="clear" w:color="auto" w:fill="FFFFFF"/>
              </w:rPr>
            </w:pPr>
            <w:r>
              <w:rPr>
                <w:rFonts w:cs="Times New Roman"/>
                <w:bCs/>
                <w:sz w:val="24"/>
                <w:shd w:val="clear" w:color="auto" w:fill="FFFFFF"/>
              </w:rPr>
              <w:t xml:space="preserve">    </w:t>
            </w:r>
            <w:r>
              <w:rPr>
                <w:rFonts w:cs="Times New Roman"/>
                <w:b/>
                <w:bCs/>
                <w:sz w:val="24"/>
                <w:shd w:val="clear" w:color="auto" w:fill="FFFFFF"/>
              </w:rPr>
              <w:t>慈孝敬老社会行为规范（10项）。</w:t>
            </w:r>
            <w:r>
              <w:rPr>
                <w:rFonts w:cs="Times New Roman"/>
                <w:bCs/>
                <w:sz w:val="24"/>
                <w:shd w:val="clear" w:color="auto" w:fill="FFFFFF"/>
              </w:rPr>
              <w:t>包括长寿之乡市民敬老孝亲行为规范、长寿之乡医院老年病科建设规范、长寿之乡老年康复护理规范、丽水市居家养老服务条例、长寿之乡老年养生常识、长寿之乡孝文化六进规范（进校园、社区、家庭、企业、乡村、机关）、长寿之乡志愿者服务导则、智慧养老服务平台建设总体要求、乡镇（街道）居家养老服务中心服务与管理规范、家政服务员岗位通用要求。</w:t>
            </w:r>
          </w:p>
          <w:p>
            <w:pPr>
              <w:rPr>
                <w:rFonts w:cs="Times New Roman"/>
                <w:bCs/>
                <w:sz w:val="24"/>
                <w:shd w:val="clear" w:color="auto" w:fill="FFFFFF"/>
              </w:rPr>
            </w:pPr>
            <w:r>
              <w:rPr>
                <w:rFonts w:cs="Times New Roman"/>
                <w:bCs/>
                <w:sz w:val="24"/>
                <w:shd w:val="clear" w:color="auto" w:fill="FFFFFF"/>
              </w:rPr>
              <w:t xml:space="preserve">    </w:t>
            </w:r>
            <w:r>
              <w:rPr>
                <w:rFonts w:cs="Times New Roman"/>
                <w:b/>
                <w:bCs/>
                <w:sz w:val="24"/>
                <w:shd w:val="clear" w:color="auto" w:fill="FFFFFF"/>
              </w:rPr>
              <w:t>创新政策和机制（10项）。</w:t>
            </w:r>
            <w:r>
              <w:rPr>
                <w:rFonts w:cs="Times New Roman"/>
                <w:bCs/>
                <w:sz w:val="24"/>
                <w:shd w:val="clear" w:color="auto" w:fill="FFFFFF"/>
              </w:rPr>
              <w:t>包括丽水市发展健康养生产业和银发经济实施意见、积极应对人口老龄化国家重点联系城市方案、老年宜居环境建设实施意见、丽水市敬老文明号创建和管理办法、丽水市长寿之乡品牌建设联席会议机制、丽水温馨家庭评比办法、长寿养生村评比办法、长寿之乡时间银行建设试点方案、丽水市老年人优待办法、长寿之乡老年人数字鸿沟丽水解决方案（智慧助老丽水解决方案）。</w:t>
            </w:r>
          </w:p>
        </w:tc>
      </w:tr>
    </w:tbl>
    <w:p>
      <w:pPr>
        <w:pStyle w:val="3"/>
        <w:spacing w:before="0" w:after="0" w:line="580" w:lineRule="exact"/>
        <w:ind w:firstLine="642" w:firstLineChars="200"/>
        <w:jc w:val="both"/>
        <w:rPr>
          <w:rFonts w:eastAsia="仿宋_GB2312" w:cs="Times New Roman"/>
          <w:b/>
          <w:bCs/>
          <w:kern w:val="2"/>
          <w:sz w:val="32"/>
          <w:szCs w:val="32"/>
        </w:rPr>
      </w:pPr>
      <w:bookmarkStart w:id="436" w:name="_Toc5436"/>
      <w:bookmarkStart w:id="437" w:name="_Toc3303"/>
      <w:bookmarkStart w:id="438" w:name="_Toc11667"/>
      <w:bookmarkStart w:id="439" w:name="_Toc83561905"/>
      <w:bookmarkStart w:id="440" w:name="_Toc15511"/>
      <w:bookmarkStart w:id="441" w:name="_Toc3911"/>
      <w:bookmarkStart w:id="442" w:name="_Toc84690017"/>
      <w:bookmarkStart w:id="443" w:name="_Toc8671"/>
      <w:bookmarkStart w:id="444" w:name="_Toc15010"/>
      <w:bookmarkStart w:id="445" w:name="_Toc18724"/>
      <w:bookmarkStart w:id="446" w:name="_Toc29848"/>
      <w:bookmarkStart w:id="447" w:name="_Toc16102"/>
      <w:bookmarkStart w:id="448" w:name="_Toc8432"/>
      <w:bookmarkStart w:id="449" w:name="_Toc14154"/>
      <w:bookmarkStart w:id="450" w:name="_Toc31020"/>
      <w:bookmarkStart w:id="451" w:name="_Toc18157"/>
      <w:r>
        <w:rPr>
          <w:rFonts w:eastAsia="楷体_GB2312" w:cs="Times New Roman"/>
          <w:b/>
          <w:kern w:val="2"/>
          <w:sz w:val="32"/>
          <w:szCs w:val="32"/>
        </w:rPr>
        <w:t>（九）老龄社会治理创新工程</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spacing w:line="580" w:lineRule="exact"/>
        <w:ind w:firstLine="640"/>
        <w:rPr>
          <w:rFonts w:cs="Times New Roman"/>
        </w:rPr>
      </w:pPr>
      <w:r>
        <w:rPr>
          <w:rFonts w:cs="Times New Roman"/>
        </w:rPr>
        <w:t>积极参与国家积极应对人口老龄化重点联系城市建设，探索多领域、多维度的系统创新，为全国、全省提供可复制、可推广的积极应对人口老龄化经验。</w:t>
      </w:r>
      <w:r>
        <w:rPr>
          <w:rFonts w:cs="Times New Roman"/>
          <w:szCs w:val="32"/>
        </w:rPr>
        <w:t>积极融入长三角区域一体，以养老机构管理一体化、养老需求评估等标准一体化、养老服务资源一体化、养老服务信息平台一体化等为重点，持续探索区域合作模式路径。发挥长寿之乡绿色产业区域合作联盟执行理事长单位和秘书处所在地单位的优势，积极举办全国性的长寿文化产业博览会和康养论坛，打响“中国长寿之乡”品牌。充分发挥老年人在基层治理中的作用，积极推动各类基层老年组织、活动社团等成为社会治理创新的重要力量。深入推进“党建统领+社区治理”，加快构建社区治理共同体，弘扬新时代“枫桥经验”，全面提升城乡社区治理能力。</w:t>
      </w:r>
    </w:p>
    <w:p>
      <w:pPr>
        <w:pStyle w:val="3"/>
        <w:spacing w:before="0" w:after="0" w:line="580" w:lineRule="exact"/>
        <w:ind w:firstLine="640" w:firstLineChars="200"/>
        <w:jc w:val="both"/>
        <w:rPr>
          <w:rFonts w:eastAsia="黑体" w:cs="Times New Roman"/>
          <w:sz w:val="32"/>
          <w:szCs w:val="32"/>
        </w:rPr>
      </w:pPr>
      <w:bookmarkStart w:id="452" w:name="_Toc84690018"/>
      <w:bookmarkStart w:id="453" w:name="_Toc12882"/>
      <w:bookmarkStart w:id="454" w:name="_Toc25931"/>
      <w:bookmarkStart w:id="455" w:name="_Toc2444"/>
      <w:bookmarkStart w:id="456" w:name="_Toc812"/>
      <w:bookmarkStart w:id="457" w:name="_Toc15982"/>
      <w:bookmarkStart w:id="458" w:name="_Toc3350"/>
      <w:bookmarkStart w:id="459" w:name="_Toc21487"/>
      <w:bookmarkStart w:id="460" w:name="_Toc1252"/>
      <w:bookmarkStart w:id="461" w:name="_Toc21060"/>
      <w:bookmarkStart w:id="462" w:name="_Toc31135"/>
      <w:bookmarkStart w:id="463" w:name="_Toc83561906"/>
      <w:bookmarkStart w:id="464" w:name="_Toc7482"/>
      <w:bookmarkStart w:id="465" w:name="_Toc20084"/>
      <w:bookmarkStart w:id="466" w:name="_Toc5576"/>
      <w:bookmarkStart w:id="467" w:name="_Toc10300"/>
      <w:bookmarkStart w:id="468" w:name="_Toc1501"/>
      <w:bookmarkStart w:id="469" w:name="_Toc20604"/>
      <w:bookmarkStart w:id="470" w:name="_Toc25656"/>
      <w:r>
        <w:rPr>
          <w:rFonts w:eastAsia="黑体" w:cs="Times New Roman"/>
          <w:sz w:val="32"/>
          <w:szCs w:val="32"/>
        </w:rPr>
        <w:t>五、保障措施</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pPr>
        <w:pStyle w:val="4"/>
        <w:rPr>
          <w:rFonts w:eastAsia="楷体_GB2312" w:cs="Times New Roman"/>
          <w:b/>
        </w:rPr>
      </w:pPr>
      <w:bookmarkStart w:id="471" w:name="_Toc8199"/>
      <w:bookmarkStart w:id="472" w:name="_Toc22001"/>
      <w:bookmarkStart w:id="473" w:name="_Toc1629"/>
      <w:bookmarkStart w:id="474" w:name="_Toc27005"/>
      <w:bookmarkStart w:id="475" w:name="_Toc15822"/>
      <w:bookmarkStart w:id="476" w:name="_Toc16463"/>
      <w:bookmarkStart w:id="477" w:name="_Toc13431"/>
      <w:bookmarkStart w:id="478" w:name="_Toc31007"/>
      <w:bookmarkStart w:id="479" w:name="_Toc2930"/>
      <w:bookmarkStart w:id="480" w:name="_Toc10535"/>
      <w:bookmarkStart w:id="481" w:name="_Toc12678"/>
      <w:bookmarkStart w:id="482" w:name="_Toc26523"/>
      <w:bookmarkStart w:id="483" w:name="_Toc20426"/>
      <w:bookmarkStart w:id="484" w:name="_Toc83561907"/>
      <w:bookmarkStart w:id="485" w:name="_Toc27909"/>
      <w:bookmarkStart w:id="486" w:name="_Toc3559"/>
      <w:bookmarkStart w:id="487" w:name="_Toc24870"/>
      <w:bookmarkStart w:id="488" w:name="_Toc14977"/>
      <w:r>
        <w:rPr>
          <w:rFonts w:eastAsia="楷体_GB2312" w:cs="Times New Roman"/>
          <w:b/>
        </w:rPr>
        <w:t xml:space="preserve">    </w:t>
      </w:r>
      <w:bookmarkStart w:id="489" w:name="_Toc84690019"/>
      <w:r>
        <w:rPr>
          <w:rFonts w:eastAsia="楷体_GB2312" w:cs="Times New Roman"/>
          <w:b/>
        </w:rPr>
        <w:t>（一）加强组织领导</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spacing w:line="580" w:lineRule="exact"/>
        <w:ind w:firstLine="640" w:firstLineChars="200"/>
        <w:rPr>
          <w:rFonts w:cs="Times New Roman"/>
          <w:b/>
          <w:bCs/>
        </w:rPr>
      </w:pPr>
      <w:r>
        <w:rPr>
          <w:rFonts w:cs="Times New Roman"/>
        </w:rPr>
        <w:t>坚持党对应对人口老龄化的集中统一领导，发挥各级党委总揽全局、协调各方的领导核心作用，为规划实施提供坚强保证。增强各级党委政府和领导干部实施积极应对人口老龄化国家战略的积极性、主动性、创造性，强化规划落实责任。将应对人口老龄化纳入各地经济社会发展总体规划和年度工作计划，纳入政府目标责任考核内容和部门专项工作规划。强化老龄工作委员会及其办公室的统筹协调作用，强化积极应对人口老龄化工作的协调机制，积极推进涉老公共服务领域管理体制改革。</w:t>
      </w:r>
    </w:p>
    <w:p>
      <w:pPr>
        <w:pStyle w:val="4"/>
        <w:rPr>
          <w:rFonts w:eastAsia="楷体_GB2312" w:cs="Times New Roman"/>
          <w:b/>
        </w:rPr>
      </w:pPr>
      <w:bookmarkStart w:id="490" w:name="_Toc22913"/>
      <w:bookmarkStart w:id="491" w:name="_Toc10076"/>
      <w:bookmarkStart w:id="492" w:name="_Toc17224"/>
      <w:bookmarkStart w:id="493" w:name="_Toc28346"/>
      <w:bookmarkStart w:id="494" w:name="_Toc30370"/>
      <w:bookmarkStart w:id="495" w:name="_Toc32588"/>
      <w:bookmarkStart w:id="496" w:name="_Toc2632"/>
      <w:bookmarkStart w:id="497" w:name="_Toc83561908"/>
      <w:bookmarkStart w:id="498" w:name="_Toc32070"/>
      <w:bookmarkStart w:id="499" w:name="_Toc16482"/>
      <w:r>
        <w:rPr>
          <w:rFonts w:eastAsia="楷体_GB2312" w:cs="Times New Roman"/>
          <w:b/>
        </w:rPr>
        <w:t xml:space="preserve">    </w:t>
      </w:r>
      <w:bookmarkStart w:id="500" w:name="_Toc84690020"/>
      <w:r>
        <w:rPr>
          <w:rFonts w:eastAsia="楷体_GB2312" w:cs="Times New Roman"/>
          <w:b/>
        </w:rPr>
        <w:t>（二）完善投入机制</w:t>
      </w:r>
      <w:bookmarkEnd w:id="490"/>
      <w:bookmarkEnd w:id="491"/>
      <w:bookmarkEnd w:id="492"/>
      <w:bookmarkEnd w:id="493"/>
      <w:bookmarkEnd w:id="494"/>
      <w:bookmarkEnd w:id="495"/>
      <w:bookmarkEnd w:id="496"/>
      <w:bookmarkEnd w:id="497"/>
      <w:bookmarkEnd w:id="498"/>
      <w:bookmarkEnd w:id="499"/>
      <w:bookmarkEnd w:id="500"/>
    </w:p>
    <w:p>
      <w:pPr>
        <w:spacing w:line="580" w:lineRule="exact"/>
        <w:ind w:firstLine="640" w:firstLineChars="200"/>
        <w:rPr>
          <w:rFonts w:cs="Times New Roman"/>
        </w:rPr>
      </w:pPr>
      <w:r>
        <w:rPr>
          <w:rFonts w:cs="Times New Roman"/>
        </w:rPr>
        <w:t>健全应对人口老龄化经费投入保障机制，根据本市老龄工作发展的需要和财力可能，提供必要的财力保障。加强老龄工作各项经费的绩效管理，强化资金监管，提高资金使用效益。建立多元投入机制，引导各类社会资本投入老龄事业，划转部分国有资本充实社保基金，确保老龄事业顺利推进。整合现有各类涉老资金，全市各级福彩公益金60%以上用于支持发展养老服务。设立全市养老服务业发展基金，加大对社会养老服务企业、机构和项目的投融资支持。</w:t>
      </w:r>
    </w:p>
    <w:p>
      <w:pPr>
        <w:pStyle w:val="4"/>
        <w:rPr>
          <w:rFonts w:eastAsia="楷体_GB2312" w:cs="Times New Roman"/>
          <w:b/>
        </w:rPr>
      </w:pPr>
      <w:bookmarkStart w:id="501" w:name="_Toc3734"/>
      <w:bookmarkStart w:id="502" w:name="_Toc31420"/>
      <w:bookmarkStart w:id="503" w:name="_Toc18280"/>
      <w:bookmarkStart w:id="504" w:name="_Toc27602"/>
      <w:bookmarkStart w:id="505" w:name="_Toc83561909"/>
      <w:bookmarkStart w:id="506" w:name="_Toc32715"/>
      <w:bookmarkStart w:id="507" w:name="_Toc23713"/>
      <w:bookmarkStart w:id="508" w:name="_Toc2851"/>
      <w:bookmarkStart w:id="509" w:name="_Toc1684"/>
      <w:r>
        <w:rPr>
          <w:rFonts w:eastAsia="楷体_GB2312" w:cs="Times New Roman"/>
          <w:b/>
        </w:rPr>
        <w:t xml:space="preserve">    </w:t>
      </w:r>
      <w:bookmarkStart w:id="510" w:name="_Toc84690021"/>
      <w:r>
        <w:rPr>
          <w:rFonts w:eastAsia="楷体_GB2312" w:cs="Times New Roman"/>
          <w:b/>
        </w:rPr>
        <w:t>（三）壮大工作队伍</w:t>
      </w:r>
      <w:bookmarkEnd w:id="501"/>
      <w:bookmarkEnd w:id="502"/>
      <w:bookmarkEnd w:id="503"/>
      <w:bookmarkEnd w:id="504"/>
      <w:bookmarkEnd w:id="505"/>
      <w:bookmarkEnd w:id="506"/>
      <w:bookmarkEnd w:id="507"/>
      <w:bookmarkEnd w:id="508"/>
      <w:bookmarkEnd w:id="509"/>
      <w:bookmarkEnd w:id="510"/>
    </w:p>
    <w:p>
      <w:pPr>
        <w:spacing w:line="580" w:lineRule="exact"/>
        <w:ind w:firstLine="640" w:firstLineChars="200"/>
        <w:rPr>
          <w:rFonts w:cs="Times New Roman"/>
        </w:rPr>
      </w:pPr>
      <w:r>
        <w:rPr>
          <w:rFonts w:cs="Times New Roman"/>
          <w:kern w:val="0"/>
          <w:szCs w:val="32"/>
        </w:rPr>
        <w:t>积极发挥养老专家咨询委员会作用，为政府决策提供参考。</w:t>
      </w:r>
      <w:r>
        <w:rPr>
          <w:rFonts w:cs="Times New Roman"/>
        </w:rPr>
        <w:t>落实“城乡社区老龄工作有人抓、老年人事情有人管、老年人困难有人帮”要求，配齐建强各级老龄工作机构和城乡社区老龄工作力量。推进涉老相关专业教育体系建设，加快医疗健康、养老服务与管理、社会工作、康复辅具配置等方面的人才培养。完善老年服务从业人员职业培训和职业资格认证工作，逐步提高薪酬待遇，拓宽职业发展空间。加大社会培养力度，培育壮大老龄科研队伍，加强老年社会工作者的专业能力建设，大力发展为老服务志愿队伍。</w:t>
      </w:r>
    </w:p>
    <w:p>
      <w:pPr>
        <w:pStyle w:val="4"/>
        <w:rPr>
          <w:rFonts w:eastAsia="楷体_GB2312" w:cs="Times New Roman"/>
          <w:b/>
        </w:rPr>
      </w:pPr>
      <w:bookmarkStart w:id="511" w:name="_Toc9962"/>
      <w:bookmarkStart w:id="512" w:name="_Toc14658"/>
      <w:bookmarkStart w:id="513" w:name="_Toc83561910"/>
      <w:bookmarkStart w:id="514" w:name="_Toc18781"/>
      <w:bookmarkStart w:id="515" w:name="_Toc19330"/>
      <w:bookmarkStart w:id="516" w:name="_Toc11686"/>
      <w:bookmarkStart w:id="517" w:name="_Toc8104"/>
      <w:bookmarkStart w:id="518" w:name="_Toc28936"/>
      <w:bookmarkStart w:id="519" w:name="_Toc31047"/>
      <w:bookmarkStart w:id="520" w:name="_Toc13144"/>
      <w:r>
        <w:rPr>
          <w:rFonts w:eastAsia="楷体_GB2312" w:cs="Times New Roman"/>
          <w:b/>
        </w:rPr>
        <w:t xml:space="preserve">    </w:t>
      </w:r>
      <w:bookmarkStart w:id="521" w:name="_Toc84690022"/>
      <w:r>
        <w:rPr>
          <w:rFonts w:eastAsia="楷体_GB2312" w:cs="Times New Roman"/>
          <w:b/>
        </w:rPr>
        <w:t>（四）加强数据支撑</w:t>
      </w:r>
      <w:bookmarkEnd w:id="511"/>
      <w:bookmarkEnd w:id="512"/>
      <w:bookmarkEnd w:id="513"/>
      <w:bookmarkEnd w:id="514"/>
      <w:bookmarkEnd w:id="515"/>
      <w:bookmarkEnd w:id="516"/>
      <w:bookmarkEnd w:id="517"/>
      <w:bookmarkEnd w:id="518"/>
      <w:bookmarkEnd w:id="519"/>
      <w:bookmarkEnd w:id="520"/>
      <w:bookmarkEnd w:id="521"/>
    </w:p>
    <w:p>
      <w:pPr>
        <w:rPr>
          <w:rFonts w:cs="Times New Roman"/>
          <w:kern w:val="0"/>
        </w:rPr>
      </w:pPr>
      <w:r>
        <w:rPr>
          <w:rFonts w:cs="Times New Roman"/>
        </w:rPr>
        <w:t xml:space="preserve">    积极推进老龄化工作数字化改革，坚持整体智治、系统集成，推动各有关部门涉及老年人的信息分类互联共享、动态更新。加强对老年人口信息的管理、分析和预测，监测和评估人口老龄化变动情况及发展趋势，形成人口老龄化预测预报制度。</w:t>
      </w:r>
      <w:r>
        <w:rPr>
          <w:rFonts w:cs="Times New Roman"/>
          <w:kern w:val="0"/>
        </w:rPr>
        <w:t>加强应对人口老龄化综合创新学术研究，纳入中国（丽水）两山学院研究内容。</w:t>
      </w:r>
      <w:bookmarkStart w:id="522" w:name="_Toc83561911"/>
    </w:p>
    <w:p>
      <w:pPr>
        <w:pStyle w:val="4"/>
        <w:rPr>
          <w:rFonts w:eastAsia="楷体_GB2312" w:cs="Times New Roman"/>
          <w:b/>
        </w:rPr>
      </w:pPr>
      <w:r>
        <w:rPr>
          <w:rFonts w:eastAsia="楷体_GB2312" w:cs="Times New Roman"/>
          <w:b/>
        </w:rPr>
        <w:t xml:space="preserve">    </w:t>
      </w:r>
      <w:bookmarkStart w:id="523" w:name="_Toc84690023"/>
      <w:r>
        <w:rPr>
          <w:rFonts w:eastAsia="楷体_GB2312" w:cs="Times New Roman"/>
          <w:b/>
        </w:rPr>
        <w:t>（五）加强统计监测</w:t>
      </w:r>
      <w:bookmarkEnd w:id="522"/>
      <w:bookmarkEnd w:id="523"/>
    </w:p>
    <w:p>
      <w:pPr>
        <w:rPr>
          <w:rFonts w:cs="Times New Roman"/>
          <w:kern w:val="0"/>
        </w:rPr>
      </w:pPr>
      <w:r>
        <w:rPr>
          <w:rFonts w:cs="Times New Roman"/>
          <w:kern w:val="0"/>
        </w:rPr>
        <w:t xml:space="preserve">    建立健全人口老龄化监测体系、监测网络、监测平台，做好人口老龄化数据动态更新和审核，保证人口老龄化统计数据质量。壮大基层人口老龄化统计力量，优化人口老龄化统计工作。建立人口老龄化发展指标、重点任务、重大工程</w:t>
      </w:r>
      <w:r>
        <w:rPr>
          <w:rFonts w:cs="Times New Roman"/>
        </w:rPr>
        <w:t>实施动态监测机制，对规划实施情况定期开展综合评估和专项评估，及时发现和解决突出问题。</w:t>
      </w:r>
      <w:bookmarkStart w:id="524" w:name="_Toc14340"/>
      <w:bookmarkStart w:id="525" w:name="_Toc3407"/>
      <w:bookmarkStart w:id="526" w:name="_Toc5276"/>
      <w:bookmarkStart w:id="527" w:name="_Toc24119"/>
      <w:bookmarkStart w:id="528" w:name="_Toc22937"/>
      <w:bookmarkStart w:id="529" w:name="_Toc98"/>
      <w:bookmarkStart w:id="530" w:name="_Toc12799"/>
      <w:bookmarkStart w:id="531" w:name="_Toc83561912"/>
    </w:p>
    <w:p>
      <w:pPr>
        <w:pStyle w:val="4"/>
        <w:rPr>
          <w:rFonts w:eastAsia="楷体_GB2312" w:cs="Times New Roman"/>
          <w:b/>
        </w:rPr>
      </w:pPr>
      <w:r>
        <w:rPr>
          <w:rFonts w:eastAsia="楷体_GB2312" w:cs="Times New Roman"/>
          <w:b/>
        </w:rPr>
        <w:t xml:space="preserve">    </w:t>
      </w:r>
      <w:bookmarkStart w:id="532" w:name="_Toc84690024"/>
      <w:r>
        <w:rPr>
          <w:rFonts w:eastAsia="楷体_GB2312" w:cs="Times New Roman"/>
          <w:b/>
        </w:rPr>
        <w:t>（六）</w:t>
      </w:r>
      <w:bookmarkStart w:id="533" w:name="_Toc12611"/>
      <w:bookmarkStart w:id="534" w:name="_Toc32027"/>
      <w:bookmarkStart w:id="535" w:name="_Toc18871"/>
      <w:r>
        <w:rPr>
          <w:rFonts w:eastAsia="楷体_GB2312" w:cs="Times New Roman"/>
          <w:b/>
        </w:rPr>
        <w:t>加强舆论引导</w:t>
      </w:r>
      <w:bookmarkEnd w:id="524"/>
      <w:bookmarkEnd w:id="525"/>
      <w:bookmarkEnd w:id="526"/>
      <w:bookmarkEnd w:id="527"/>
      <w:bookmarkEnd w:id="528"/>
      <w:bookmarkEnd w:id="529"/>
      <w:bookmarkEnd w:id="530"/>
      <w:bookmarkEnd w:id="531"/>
      <w:bookmarkEnd w:id="532"/>
      <w:bookmarkEnd w:id="533"/>
      <w:bookmarkEnd w:id="534"/>
      <w:bookmarkEnd w:id="535"/>
    </w:p>
    <w:p>
      <w:pPr>
        <w:numPr>
          <w:ilvl w:val="255"/>
          <w:numId w:val="0"/>
        </w:numPr>
        <w:pBdr>
          <w:bottom w:val="single" w:color="FFFFFF" w:sz="4" w:space="31"/>
        </w:pBdr>
        <w:tabs>
          <w:tab w:val="left" w:pos="1440"/>
        </w:tabs>
        <w:spacing w:line="580" w:lineRule="exact"/>
        <w:ind w:firstLine="640" w:firstLineChars="200"/>
        <w:rPr>
          <w:rFonts w:cs="Times New Roman"/>
        </w:rPr>
        <w:sectPr>
          <w:footerReference r:id="rId3" w:type="default"/>
          <w:pgSz w:w="11906" w:h="16838"/>
          <w:pgMar w:top="1440" w:right="1800" w:bottom="1440" w:left="1800" w:header="851" w:footer="992" w:gutter="0"/>
          <w:cols w:space="425" w:num="1"/>
          <w:docGrid w:type="lines" w:linePitch="312" w:charSpace="0"/>
        </w:sectPr>
      </w:pPr>
      <w:r>
        <w:rPr>
          <w:rFonts w:cs="Times New Roman"/>
        </w:rPr>
        <w:t>将人口老龄化国情市情教育纳入行政学院主体班次教学培训内容，纳入各级政府及其工作部门理论学习内容。</w:t>
      </w:r>
      <w:r>
        <w:rPr>
          <w:rFonts w:cs="Times New Roman"/>
          <w:szCs w:val="32"/>
        </w:rPr>
        <w:t>将积极老龄观融入国民教育、精神文明创建、文化产品创作生产全过程。树立正确导向的舆论引导机制，改进和创新对老年人正面形象和价值的宣传，消除社会大众对老年人和老年期生活的负面刻板印象。引导老年人树立终身发展理念，保持自尊自爱自信自强的精神状态，展现有作为有进步有快乐的新时代老年人风采。</w:t>
      </w:r>
      <w:bookmarkStart w:id="536" w:name="_Toc83562297"/>
      <w:bookmarkStart w:id="537" w:name="_Toc18366"/>
      <w:bookmarkStart w:id="538" w:name="_Toc83561913"/>
      <w:bookmarkStart w:id="539" w:name="_Toc80278956"/>
    </w:p>
    <w:bookmarkEnd w:id="536"/>
    <w:bookmarkEnd w:id="537"/>
    <w:bookmarkEnd w:id="538"/>
    <w:bookmarkEnd w:id="539"/>
    <w:p>
      <w:pPr>
        <w:rPr>
          <w:rFonts w:cs="Times New Roman"/>
        </w:rPr>
      </w:pPr>
    </w:p>
    <w:p>
      <w:pPr>
        <w:jc w:val="center"/>
        <w:rPr>
          <w:rFonts w:eastAsia="黑体" w:cs="Times New Roman"/>
        </w:rPr>
      </w:pPr>
      <w:r>
        <w:rPr>
          <w:rFonts w:eastAsia="黑体" w:cs="Times New Roman"/>
        </w:rPr>
        <w:t xml:space="preserve">名词解释 </w:t>
      </w:r>
    </w:p>
    <w:p>
      <w:pPr>
        <w:rPr>
          <w:rFonts w:cs="Times New Roman"/>
        </w:rPr>
      </w:pPr>
    </w:p>
    <w:p>
      <w:pPr>
        <w:rPr>
          <w:rFonts w:cs="Times New Roman"/>
          <w:kern w:val="0"/>
          <w:szCs w:val="32"/>
        </w:rPr>
      </w:pPr>
      <w:r>
        <w:rPr>
          <w:rFonts w:cs="Times New Roman"/>
          <w:kern w:val="0"/>
          <w:szCs w:val="32"/>
        </w:rPr>
        <w:t xml:space="preserve">   </w:t>
      </w:r>
      <w:r>
        <w:rPr>
          <w:rFonts w:cs="Times New Roman"/>
          <w:b/>
          <w:kern w:val="0"/>
          <w:szCs w:val="32"/>
        </w:rPr>
        <w:t xml:space="preserve"> 智慧流动医院。</w:t>
      </w:r>
      <w:r>
        <w:rPr>
          <w:rFonts w:cs="Times New Roman"/>
          <w:kern w:val="0"/>
          <w:szCs w:val="32"/>
        </w:rPr>
        <w:t>智慧流动医院是围绕偏远山区群众看病就医需求，在原有的“流动医院”基础上，重点打造的集巡回诊疗智慧车载医疗系统、浙政钉政府管理监测平台、浙里办群众服务端口、数据分析系统、花园云（城市大脑）数据驾驶舱展示大屏为一体的综合场景应用。</w:t>
      </w:r>
    </w:p>
    <w:p>
      <w:pPr>
        <w:rPr>
          <w:rFonts w:cs="Times New Roman"/>
          <w:kern w:val="0"/>
          <w:szCs w:val="32"/>
        </w:rPr>
      </w:pPr>
      <w:r>
        <w:rPr>
          <w:rFonts w:cs="Times New Roman"/>
          <w:kern w:val="0"/>
          <w:szCs w:val="32"/>
        </w:rPr>
        <w:t xml:space="preserve">    </w:t>
      </w:r>
      <w:r>
        <w:rPr>
          <w:rFonts w:cs="Times New Roman"/>
          <w:b/>
          <w:kern w:val="0"/>
          <w:szCs w:val="32"/>
        </w:rPr>
        <w:t>银龄卫士。</w:t>
      </w:r>
      <w:r>
        <w:rPr>
          <w:rFonts w:cs="Times New Roman"/>
        </w:rPr>
        <w:t>旨在破解“空巢老人”养老安全难题，针对“出行走失，人难寻”“防范意识弱，易受骗”“居家独处，风险大”三大问题，建立走失预警、诈骗预警、居家异常预警三大应用，实现新型智能养老模式，填补养老行业突发安全事件预警的空白。</w:t>
      </w:r>
    </w:p>
    <w:p>
      <w:pPr>
        <w:rPr>
          <w:rFonts w:cs="Times New Roman"/>
          <w:kern w:val="0"/>
          <w:szCs w:val="32"/>
        </w:rPr>
      </w:pPr>
      <w:r>
        <w:rPr>
          <w:rFonts w:cs="Times New Roman"/>
          <w:kern w:val="0"/>
          <w:szCs w:val="32"/>
        </w:rPr>
        <w:t xml:space="preserve">    </w:t>
      </w:r>
      <w:r>
        <w:rPr>
          <w:rFonts w:cs="Times New Roman"/>
          <w:b/>
          <w:kern w:val="0"/>
          <w:szCs w:val="32"/>
        </w:rPr>
        <w:t>浙丽保。</w:t>
      </w:r>
      <w:r>
        <w:rPr>
          <w:rFonts w:cs="Times New Roman"/>
        </w:rPr>
        <w:t>人人可参保，丽水市职工医保、城乡居民医保在保人员，均可按照自愿原则参保全民健康补充医疗保险，不限年龄、性别、职业、既往病史，体现政策的普惠性。</w:t>
      </w:r>
    </w:p>
    <w:p>
      <w:pPr>
        <w:rPr>
          <w:rFonts w:cs="Times New Roman"/>
          <w:kern w:val="0"/>
          <w:szCs w:val="32"/>
        </w:rPr>
      </w:pPr>
      <w:r>
        <w:rPr>
          <w:rFonts w:cs="Times New Roman"/>
          <w:kern w:val="0"/>
          <w:szCs w:val="32"/>
        </w:rPr>
        <w:t xml:space="preserve">    </w:t>
      </w:r>
      <w:r>
        <w:rPr>
          <w:rFonts w:cs="Times New Roman"/>
          <w:b/>
        </w:rPr>
        <w:t>“一带三区”。</w:t>
      </w:r>
      <w:r>
        <w:rPr>
          <w:rFonts w:cs="Times New Roman"/>
        </w:rPr>
        <w:t>“一带”，即市域发展核心带，包括莲都、青田、缙云3个县（区）和丽水经济技术开发区；“三区”，即特色发展示范区，分别由龙泉庆元、遂昌松阳、云和景宁等西部6个县（市）组成。</w:t>
      </w:r>
    </w:p>
    <w:p>
      <w:pPr>
        <w:rPr>
          <w:rFonts w:cs="Times New Roman"/>
          <w:kern w:val="0"/>
          <w:szCs w:val="32"/>
        </w:rPr>
      </w:pPr>
      <w:r>
        <w:rPr>
          <w:rFonts w:cs="Times New Roman"/>
          <w:kern w:val="0"/>
          <w:szCs w:val="32"/>
        </w:rPr>
        <w:t xml:space="preserve">    </w:t>
      </w:r>
      <w:r>
        <w:rPr>
          <w:rFonts w:cs="Times New Roman"/>
          <w:b/>
        </w:rPr>
        <w:t>“康养联合体”。</w:t>
      </w:r>
      <w:r>
        <w:rPr>
          <w:rFonts w:cs="Times New Roman"/>
        </w:rPr>
        <w:t>依托养老或康复机构，整合康复医师、康复治疗师、康复护士和护理员资源，为老年人提供个性化、专业化康复护理服务。</w:t>
      </w:r>
    </w:p>
    <w:p>
      <w:pPr>
        <w:rPr>
          <w:rFonts w:cs="Times New Roman"/>
          <w:kern w:val="0"/>
          <w:szCs w:val="32"/>
        </w:rPr>
      </w:pPr>
      <w:r>
        <w:rPr>
          <w:rFonts w:cs="Times New Roman"/>
          <w:kern w:val="0"/>
          <w:szCs w:val="32"/>
        </w:rPr>
        <w:t xml:space="preserve">    </w:t>
      </w:r>
      <w:r>
        <w:rPr>
          <w:rFonts w:cs="Times New Roman"/>
          <w:b/>
        </w:rPr>
        <w:t>喘息服务。</w:t>
      </w:r>
      <w:r>
        <w:rPr>
          <w:rFonts w:cs="Times New Roman"/>
        </w:rPr>
        <w:t>政府花钱为失能老人家庭提供“喘息服务”，或是请专业人员去家中照料，或是把老人接到养老机构照看，既让家属喘口气，也让老人康复得更好。</w:t>
      </w:r>
    </w:p>
    <w:p>
      <w:pPr>
        <w:rPr>
          <w:rFonts w:cs="Times New Roman"/>
          <w:kern w:val="0"/>
          <w:szCs w:val="32"/>
        </w:rPr>
      </w:pPr>
      <w:r>
        <w:rPr>
          <w:rFonts w:cs="Times New Roman"/>
          <w:kern w:val="0"/>
          <w:szCs w:val="32"/>
        </w:rPr>
        <w:t xml:space="preserve">    </w:t>
      </w:r>
      <w:r>
        <w:rPr>
          <w:rFonts w:cs="Times New Roman"/>
          <w:b/>
        </w:rPr>
        <w:t>“时间银行”。</w:t>
      </w:r>
      <w:r>
        <w:rPr>
          <w:rFonts w:cs="Times New Roman"/>
        </w:rPr>
        <w:t>为促进志愿服务可持续发展，建立的志愿服务时间存取机制。</w:t>
      </w:r>
    </w:p>
    <w:p>
      <w:pPr>
        <w:rPr>
          <w:rFonts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8306"/>
      </w:tabs>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w:r>
    <w: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FFFF7D"/>
    <w:multiLevelType w:val="singleLevel"/>
    <w:tmpl w:val="0FFFFF7D"/>
    <w:lvl w:ilvl="0" w:tentative="0">
      <w:start w:val="1"/>
      <w:numFmt w:val="decimal"/>
      <w:pStyle w:val="2"/>
      <w:lvlText w:val="%1."/>
      <w:lvlJc w:val="left"/>
      <w:pPr>
        <w:tabs>
          <w:tab w:val="left" w:pos="1620"/>
        </w:tabs>
        <w:ind w:left="16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2009C"/>
    <w:rsid w:val="00002F69"/>
    <w:rsid w:val="0000420D"/>
    <w:rsid w:val="00025C04"/>
    <w:rsid w:val="000472AD"/>
    <w:rsid w:val="00052F45"/>
    <w:rsid w:val="00053BF4"/>
    <w:rsid w:val="000632B7"/>
    <w:rsid w:val="0006526B"/>
    <w:rsid w:val="00066DCB"/>
    <w:rsid w:val="00066E7B"/>
    <w:rsid w:val="00070CBD"/>
    <w:rsid w:val="00071023"/>
    <w:rsid w:val="000817DB"/>
    <w:rsid w:val="00085CEF"/>
    <w:rsid w:val="0009009D"/>
    <w:rsid w:val="000A06F5"/>
    <w:rsid w:val="000C4D08"/>
    <w:rsid w:val="000D0AD5"/>
    <w:rsid w:val="000E16F7"/>
    <w:rsid w:val="00115170"/>
    <w:rsid w:val="0012322B"/>
    <w:rsid w:val="00125330"/>
    <w:rsid w:val="00126193"/>
    <w:rsid w:val="00130A0C"/>
    <w:rsid w:val="00137E4E"/>
    <w:rsid w:val="00141496"/>
    <w:rsid w:val="00143182"/>
    <w:rsid w:val="0015073D"/>
    <w:rsid w:val="001563E5"/>
    <w:rsid w:val="00166C40"/>
    <w:rsid w:val="001676AC"/>
    <w:rsid w:val="00175113"/>
    <w:rsid w:val="001B1473"/>
    <w:rsid w:val="001B2113"/>
    <w:rsid w:val="001B45BA"/>
    <w:rsid w:val="001B624F"/>
    <w:rsid w:val="001B6B9B"/>
    <w:rsid w:val="001C4E62"/>
    <w:rsid w:val="001C7EDD"/>
    <w:rsid w:val="001F5BB0"/>
    <w:rsid w:val="00201CCC"/>
    <w:rsid w:val="00203CF3"/>
    <w:rsid w:val="00204898"/>
    <w:rsid w:val="0020630D"/>
    <w:rsid w:val="00221E3F"/>
    <w:rsid w:val="002232A6"/>
    <w:rsid w:val="00230D24"/>
    <w:rsid w:val="0023162A"/>
    <w:rsid w:val="00235309"/>
    <w:rsid w:val="0024054E"/>
    <w:rsid w:val="00252351"/>
    <w:rsid w:val="00254B3F"/>
    <w:rsid w:val="002772FD"/>
    <w:rsid w:val="00286296"/>
    <w:rsid w:val="00296BC2"/>
    <w:rsid w:val="002A1930"/>
    <w:rsid w:val="002A3A21"/>
    <w:rsid w:val="002B7191"/>
    <w:rsid w:val="002C06FC"/>
    <w:rsid w:val="002C58D9"/>
    <w:rsid w:val="002D212F"/>
    <w:rsid w:val="002F3C03"/>
    <w:rsid w:val="00304911"/>
    <w:rsid w:val="00304FC1"/>
    <w:rsid w:val="003109D7"/>
    <w:rsid w:val="003173C2"/>
    <w:rsid w:val="003250F2"/>
    <w:rsid w:val="003257DC"/>
    <w:rsid w:val="00347E5A"/>
    <w:rsid w:val="00352957"/>
    <w:rsid w:val="003556B5"/>
    <w:rsid w:val="00363D6F"/>
    <w:rsid w:val="00370C45"/>
    <w:rsid w:val="00386CDA"/>
    <w:rsid w:val="00391C07"/>
    <w:rsid w:val="003A551C"/>
    <w:rsid w:val="003B00FC"/>
    <w:rsid w:val="003B2DAE"/>
    <w:rsid w:val="003C6475"/>
    <w:rsid w:val="003D7544"/>
    <w:rsid w:val="0040649A"/>
    <w:rsid w:val="004127F1"/>
    <w:rsid w:val="00426372"/>
    <w:rsid w:val="004301B6"/>
    <w:rsid w:val="00470479"/>
    <w:rsid w:val="00475555"/>
    <w:rsid w:val="004A4433"/>
    <w:rsid w:val="004B3282"/>
    <w:rsid w:val="004C43B8"/>
    <w:rsid w:val="004D4270"/>
    <w:rsid w:val="004D56B1"/>
    <w:rsid w:val="004E0C8A"/>
    <w:rsid w:val="004E0D10"/>
    <w:rsid w:val="004E6091"/>
    <w:rsid w:val="004F4271"/>
    <w:rsid w:val="004F7B7F"/>
    <w:rsid w:val="00506C63"/>
    <w:rsid w:val="005139F5"/>
    <w:rsid w:val="00516764"/>
    <w:rsid w:val="005376D7"/>
    <w:rsid w:val="00541675"/>
    <w:rsid w:val="00543360"/>
    <w:rsid w:val="005527F9"/>
    <w:rsid w:val="00560AC3"/>
    <w:rsid w:val="00561109"/>
    <w:rsid w:val="005612B2"/>
    <w:rsid w:val="00570376"/>
    <w:rsid w:val="0057595A"/>
    <w:rsid w:val="005827ED"/>
    <w:rsid w:val="0059124E"/>
    <w:rsid w:val="005924A4"/>
    <w:rsid w:val="005A663F"/>
    <w:rsid w:val="005D59BF"/>
    <w:rsid w:val="005D62F4"/>
    <w:rsid w:val="00604853"/>
    <w:rsid w:val="00621C59"/>
    <w:rsid w:val="00622A2C"/>
    <w:rsid w:val="00635A99"/>
    <w:rsid w:val="00644503"/>
    <w:rsid w:val="00654AF6"/>
    <w:rsid w:val="00657EA4"/>
    <w:rsid w:val="00663ACB"/>
    <w:rsid w:val="006646D9"/>
    <w:rsid w:val="00670F6A"/>
    <w:rsid w:val="006738D4"/>
    <w:rsid w:val="00675213"/>
    <w:rsid w:val="006834FD"/>
    <w:rsid w:val="00692965"/>
    <w:rsid w:val="006A28D8"/>
    <w:rsid w:val="006A44D5"/>
    <w:rsid w:val="006A7778"/>
    <w:rsid w:val="006B1C33"/>
    <w:rsid w:val="006B6792"/>
    <w:rsid w:val="006C0645"/>
    <w:rsid w:val="006E4348"/>
    <w:rsid w:val="006F0883"/>
    <w:rsid w:val="006F7D6E"/>
    <w:rsid w:val="007121AE"/>
    <w:rsid w:val="007219BE"/>
    <w:rsid w:val="00722C7F"/>
    <w:rsid w:val="00725CF1"/>
    <w:rsid w:val="007476DC"/>
    <w:rsid w:val="00756F9E"/>
    <w:rsid w:val="0075750D"/>
    <w:rsid w:val="007632AE"/>
    <w:rsid w:val="00767F16"/>
    <w:rsid w:val="00771D86"/>
    <w:rsid w:val="007741D8"/>
    <w:rsid w:val="007755DD"/>
    <w:rsid w:val="00776277"/>
    <w:rsid w:val="00780BD4"/>
    <w:rsid w:val="007B43E6"/>
    <w:rsid w:val="007D2A71"/>
    <w:rsid w:val="007D4186"/>
    <w:rsid w:val="007E0D57"/>
    <w:rsid w:val="007E1A7F"/>
    <w:rsid w:val="007E1D56"/>
    <w:rsid w:val="007E64AC"/>
    <w:rsid w:val="007E7C6A"/>
    <w:rsid w:val="00801196"/>
    <w:rsid w:val="0081172D"/>
    <w:rsid w:val="0082009C"/>
    <w:rsid w:val="00821DF3"/>
    <w:rsid w:val="008249D8"/>
    <w:rsid w:val="00824C7B"/>
    <w:rsid w:val="00832D97"/>
    <w:rsid w:val="008354F4"/>
    <w:rsid w:val="0083577D"/>
    <w:rsid w:val="00836859"/>
    <w:rsid w:val="00850084"/>
    <w:rsid w:val="008516FA"/>
    <w:rsid w:val="008545A3"/>
    <w:rsid w:val="008660E2"/>
    <w:rsid w:val="00887D4D"/>
    <w:rsid w:val="008E465E"/>
    <w:rsid w:val="008E507C"/>
    <w:rsid w:val="008E56AF"/>
    <w:rsid w:val="008F147A"/>
    <w:rsid w:val="00900640"/>
    <w:rsid w:val="009109B2"/>
    <w:rsid w:val="00924408"/>
    <w:rsid w:val="0092582E"/>
    <w:rsid w:val="00932B9E"/>
    <w:rsid w:val="00933B46"/>
    <w:rsid w:val="00935DDB"/>
    <w:rsid w:val="00942C9C"/>
    <w:rsid w:val="009555FA"/>
    <w:rsid w:val="009601E9"/>
    <w:rsid w:val="00966B1E"/>
    <w:rsid w:val="00971966"/>
    <w:rsid w:val="009761C5"/>
    <w:rsid w:val="009909B9"/>
    <w:rsid w:val="00991439"/>
    <w:rsid w:val="00993B2B"/>
    <w:rsid w:val="009D0AF7"/>
    <w:rsid w:val="009D53C6"/>
    <w:rsid w:val="009D7427"/>
    <w:rsid w:val="009E692B"/>
    <w:rsid w:val="009F5508"/>
    <w:rsid w:val="00A04497"/>
    <w:rsid w:val="00A2245B"/>
    <w:rsid w:val="00A2732B"/>
    <w:rsid w:val="00A300E4"/>
    <w:rsid w:val="00A41370"/>
    <w:rsid w:val="00A52EA4"/>
    <w:rsid w:val="00A57940"/>
    <w:rsid w:val="00A70984"/>
    <w:rsid w:val="00A72E04"/>
    <w:rsid w:val="00A76F1A"/>
    <w:rsid w:val="00A91AF1"/>
    <w:rsid w:val="00A9721D"/>
    <w:rsid w:val="00AA1461"/>
    <w:rsid w:val="00AA308D"/>
    <w:rsid w:val="00AA64C7"/>
    <w:rsid w:val="00AA7DAA"/>
    <w:rsid w:val="00AB11FA"/>
    <w:rsid w:val="00AC109D"/>
    <w:rsid w:val="00AC27DC"/>
    <w:rsid w:val="00AC74AC"/>
    <w:rsid w:val="00AD590A"/>
    <w:rsid w:val="00AE26D3"/>
    <w:rsid w:val="00AE4D78"/>
    <w:rsid w:val="00B23DDB"/>
    <w:rsid w:val="00B247BA"/>
    <w:rsid w:val="00B25938"/>
    <w:rsid w:val="00B30CBF"/>
    <w:rsid w:val="00B40D5C"/>
    <w:rsid w:val="00B66FF9"/>
    <w:rsid w:val="00B80E06"/>
    <w:rsid w:val="00B8566C"/>
    <w:rsid w:val="00BA1527"/>
    <w:rsid w:val="00BA252C"/>
    <w:rsid w:val="00BA2A05"/>
    <w:rsid w:val="00BD5038"/>
    <w:rsid w:val="00BE72EA"/>
    <w:rsid w:val="00BE7865"/>
    <w:rsid w:val="00C0439A"/>
    <w:rsid w:val="00C26F85"/>
    <w:rsid w:val="00C33DD4"/>
    <w:rsid w:val="00C415D4"/>
    <w:rsid w:val="00C4720C"/>
    <w:rsid w:val="00C519A2"/>
    <w:rsid w:val="00C84D5A"/>
    <w:rsid w:val="00CB28A1"/>
    <w:rsid w:val="00CB7F57"/>
    <w:rsid w:val="00CE473B"/>
    <w:rsid w:val="00CE4ABA"/>
    <w:rsid w:val="00CF450F"/>
    <w:rsid w:val="00D14A9B"/>
    <w:rsid w:val="00D17F73"/>
    <w:rsid w:val="00D25AF1"/>
    <w:rsid w:val="00D26A38"/>
    <w:rsid w:val="00D3531C"/>
    <w:rsid w:val="00D42D61"/>
    <w:rsid w:val="00D609C8"/>
    <w:rsid w:val="00D66DB3"/>
    <w:rsid w:val="00D725A0"/>
    <w:rsid w:val="00D736CB"/>
    <w:rsid w:val="00D8161F"/>
    <w:rsid w:val="00D85603"/>
    <w:rsid w:val="00D85E83"/>
    <w:rsid w:val="00D86AFD"/>
    <w:rsid w:val="00D9148D"/>
    <w:rsid w:val="00D93415"/>
    <w:rsid w:val="00D961BD"/>
    <w:rsid w:val="00DA68C4"/>
    <w:rsid w:val="00DB60D0"/>
    <w:rsid w:val="00DC0E76"/>
    <w:rsid w:val="00DC2FF6"/>
    <w:rsid w:val="00DC59CE"/>
    <w:rsid w:val="00DE53EC"/>
    <w:rsid w:val="00DF6D61"/>
    <w:rsid w:val="00DF7E46"/>
    <w:rsid w:val="00E03980"/>
    <w:rsid w:val="00E23840"/>
    <w:rsid w:val="00E35152"/>
    <w:rsid w:val="00E36C56"/>
    <w:rsid w:val="00E41B0F"/>
    <w:rsid w:val="00E53AA1"/>
    <w:rsid w:val="00E717D0"/>
    <w:rsid w:val="00E747EB"/>
    <w:rsid w:val="00E856F6"/>
    <w:rsid w:val="00E965AC"/>
    <w:rsid w:val="00E97AA5"/>
    <w:rsid w:val="00EA00D5"/>
    <w:rsid w:val="00EA0399"/>
    <w:rsid w:val="00EA1608"/>
    <w:rsid w:val="00EB41E1"/>
    <w:rsid w:val="00ED5105"/>
    <w:rsid w:val="00EE00A1"/>
    <w:rsid w:val="00EF76B2"/>
    <w:rsid w:val="00F245D9"/>
    <w:rsid w:val="00F25E6F"/>
    <w:rsid w:val="00F335BA"/>
    <w:rsid w:val="00F34E35"/>
    <w:rsid w:val="00F511C0"/>
    <w:rsid w:val="00F60D9E"/>
    <w:rsid w:val="00F67BC3"/>
    <w:rsid w:val="00F7054C"/>
    <w:rsid w:val="00F75B6C"/>
    <w:rsid w:val="00F76210"/>
    <w:rsid w:val="00F77800"/>
    <w:rsid w:val="00F81F92"/>
    <w:rsid w:val="00F93583"/>
    <w:rsid w:val="00FB5002"/>
    <w:rsid w:val="00FC0B6F"/>
    <w:rsid w:val="00FD6D89"/>
    <w:rsid w:val="00FE1A5D"/>
    <w:rsid w:val="00FE65BD"/>
    <w:rsid w:val="00FF1A7F"/>
    <w:rsid w:val="00FF4C32"/>
    <w:rsid w:val="01036553"/>
    <w:rsid w:val="0104204C"/>
    <w:rsid w:val="01120978"/>
    <w:rsid w:val="01177974"/>
    <w:rsid w:val="0128073A"/>
    <w:rsid w:val="012A3A24"/>
    <w:rsid w:val="01350A9E"/>
    <w:rsid w:val="01390136"/>
    <w:rsid w:val="014C0567"/>
    <w:rsid w:val="014C70D5"/>
    <w:rsid w:val="015056A4"/>
    <w:rsid w:val="015A4D69"/>
    <w:rsid w:val="015B5DC0"/>
    <w:rsid w:val="01652977"/>
    <w:rsid w:val="01715A36"/>
    <w:rsid w:val="017B0F57"/>
    <w:rsid w:val="01855C37"/>
    <w:rsid w:val="018626C3"/>
    <w:rsid w:val="018F3C2E"/>
    <w:rsid w:val="0190222D"/>
    <w:rsid w:val="01982078"/>
    <w:rsid w:val="019A3AE6"/>
    <w:rsid w:val="019F0505"/>
    <w:rsid w:val="019F1483"/>
    <w:rsid w:val="01A02E5B"/>
    <w:rsid w:val="01A07A79"/>
    <w:rsid w:val="01A13F60"/>
    <w:rsid w:val="01A70494"/>
    <w:rsid w:val="01A86EEC"/>
    <w:rsid w:val="01AF2CD8"/>
    <w:rsid w:val="01B15EB6"/>
    <w:rsid w:val="01BB4CB0"/>
    <w:rsid w:val="01BC7A49"/>
    <w:rsid w:val="01C86736"/>
    <w:rsid w:val="01CE0A08"/>
    <w:rsid w:val="01E36C0B"/>
    <w:rsid w:val="01E6278E"/>
    <w:rsid w:val="01FB7C6B"/>
    <w:rsid w:val="01FF3A79"/>
    <w:rsid w:val="02073F7F"/>
    <w:rsid w:val="020D643F"/>
    <w:rsid w:val="021A097C"/>
    <w:rsid w:val="0224519E"/>
    <w:rsid w:val="02281EB9"/>
    <w:rsid w:val="02294837"/>
    <w:rsid w:val="022B231E"/>
    <w:rsid w:val="02356B0B"/>
    <w:rsid w:val="025A2C43"/>
    <w:rsid w:val="025B7E82"/>
    <w:rsid w:val="02794BFB"/>
    <w:rsid w:val="02935E8E"/>
    <w:rsid w:val="029373BF"/>
    <w:rsid w:val="02951B53"/>
    <w:rsid w:val="02952182"/>
    <w:rsid w:val="02952225"/>
    <w:rsid w:val="02983B7E"/>
    <w:rsid w:val="02994A7C"/>
    <w:rsid w:val="02A31EBE"/>
    <w:rsid w:val="02AA5F0C"/>
    <w:rsid w:val="02B27792"/>
    <w:rsid w:val="02C22831"/>
    <w:rsid w:val="02C74B37"/>
    <w:rsid w:val="02D02E28"/>
    <w:rsid w:val="02D11D32"/>
    <w:rsid w:val="02DC31E2"/>
    <w:rsid w:val="02E220F9"/>
    <w:rsid w:val="02E70039"/>
    <w:rsid w:val="02E81E9C"/>
    <w:rsid w:val="02EB160B"/>
    <w:rsid w:val="02F10D2C"/>
    <w:rsid w:val="02F5295F"/>
    <w:rsid w:val="02F7327D"/>
    <w:rsid w:val="030510EF"/>
    <w:rsid w:val="03272DB9"/>
    <w:rsid w:val="032D1E5E"/>
    <w:rsid w:val="032E5AAB"/>
    <w:rsid w:val="032E6E7E"/>
    <w:rsid w:val="0332677D"/>
    <w:rsid w:val="03364A21"/>
    <w:rsid w:val="03385941"/>
    <w:rsid w:val="0342172D"/>
    <w:rsid w:val="03427FA0"/>
    <w:rsid w:val="03521C15"/>
    <w:rsid w:val="03550F56"/>
    <w:rsid w:val="035974E5"/>
    <w:rsid w:val="035B5648"/>
    <w:rsid w:val="035E5376"/>
    <w:rsid w:val="03630670"/>
    <w:rsid w:val="03712DC2"/>
    <w:rsid w:val="03742E64"/>
    <w:rsid w:val="037A597C"/>
    <w:rsid w:val="037F6A82"/>
    <w:rsid w:val="03804DE0"/>
    <w:rsid w:val="038819CE"/>
    <w:rsid w:val="038A5D3A"/>
    <w:rsid w:val="039314E8"/>
    <w:rsid w:val="03BC6AE8"/>
    <w:rsid w:val="03C1106E"/>
    <w:rsid w:val="03C76F36"/>
    <w:rsid w:val="03D81FD9"/>
    <w:rsid w:val="03DA2079"/>
    <w:rsid w:val="03E536D4"/>
    <w:rsid w:val="03EC5676"/>
    <w:rsid w:val="03F13E12"/>
    <w:rsid w:val="03F67CBF"/>
    <w:rsid w:val="03FF1631"/>
    <w:rsid w:val="04161D66"/>
    <w:rsid w:val="04172AE5"/>
    <w:rsid w:val="043D2B10"/>
    <w:rsid w:val="0447221B"/>
    <w:rsid w:val="044911A8"/>
    <w:rsid w:val="044E6E5A"/>
    <w:rsid w:val="04590456"/>
    <w:rsid w:val="04597694"/>
    <w:rsid w:val="046421B7"/>
    <w:rsid w:val="04696182"/>
    <w:rsid w:val="04731457"/>
    <w:rsid w:val="0474304E"/>
    <w:rsid w:val="047532BE"/>
    <w:rsid w:val="04783378"/>
    <w:rsid w:val="048007CF"/>
    <w:rsid w:val="04817BC2"/>
    <w:rsid w:val="04847E0E"/>
    <w:rsid w:val="04966C59"/>
    <w:rsid w:val="04A028AC"/>
    <w:rsid w:val="04A52EB5"/>
    <w:rsid w:val="04C01B73"/>
    <w:rsid w:val="04C444EC"/>
    <w:rsid w:val="04C57F25"/>
    <w:rsid w:val="04CB6C07"/>
    <w:rsid w:val="04CE7715"/>
    <w:rsid w:val="04D42D7F"/>
    <w:rsid w:val="04DF5160"/>
    <w:rsid w:val="04E20289"/>
    <w:rsid w:val="04F33DAF"/>
    <w:rsid w:val="04F56F27"/>
    <w:rsid w:val="04FE5F2B"/>
    <w:rsid w:val="04FF32C2"/>
    <w:rsid w:val="04FF79CC"/>
    <w:rsid w:val="05064C90"/>
    <w:rsid w:val="050F3E36"/>
    <w:rsid w:val="0515103B"/>
    <w:rsid w:val="05227408"/>
    <w:rsid w:val="052346E0"/>
    <w:rsid w:val="052474A0"/>
    <w:rsid w:val="05304E0A"/>
    <w:rsid w:val="05315A1C"/>
    <w:rsid w:val="05323758"/>
    <w:rsid w:val="05341E3F"/>
    <w:rsid w:val="0537267E"/>
    <w:rsid w:val="05417613"/>
    <w:rsid w:val="054200E5"/>
    <w:rsid w:val="05436704"/>
    <w:rsid w:val="054A39EB"/>
    <w:rsid w:val="054F52FD"/>
    <w:rsid w:val="05575705"/>
    <w:rsid w:val="05645B67"/>
    <w:rsid w:val="05673BE6"/>
    <w:rsid w:val="056879EB"/>
    <w:rsid w:val="056B5B2A"/>
    <w:rsid w:val="057C4042"/>
    <w:rsid w:val="057D5C0B"/>
    <w:rsid w:val="05877B37"/>
    <w:rsid w:val="05893A4E"/>
    <w:rsid w:val="058A3081"/>
    <w:rsid w:val="0596274D"/>
    <w:rsid w:val="05A21BED"/>
    <w:rsid w:val="05B47A26"/>
    <w:rsid w:val="05BB6C40"/>
    <w:rsid w:val="05C143F4"/>
    <w:rsid w:val="05C67DE1"/>
    <w:rsid w:val="05D71E40"/>
    <w:rsid w:val="05D84088"/>
    <w:rsid w:val="05E15944"/>
    <w:rsid w:val="05E812B5"/>
    <w:rsid w:val="05F51126"/>
    <w:rsid w:val="05F971B4"/>
    <w:rsid w:val="0604393E"/>
    <w:rsid w:val="060A3444"/>
    <w:rsid w:val="060E5677"/>
    <w:rsid w:val="0613115D"/>
    <w:rsid w:val="06142CA8"/>
    <w:rsid w:val="061C5718"/>
    <w:rsid w:val="0621122F"/>
    <w:rsid w:val="064633D2"/>
    <w:rsid w:val="064D5676"/>
    <w:rsid w:val="064E24D9"/>
    <w:rsid w:val="06531523"/>
    <w:rsid w:val="06531B62"/>
    <w:rsid w:val="0654590A"/>
    <w:rsid w:val="06560A4A"/>
    <w:rsid w:val="06676343"/>
    <w:rsid w:val="066F2BB8"/>
    <w:rsid w:val="06730B73"/>
    <w:rsid w:val="06771273"/>
    <w:rsid w:val="06815281"/>
    <w:rsid w:val="06821F03"/>
    <w:rsid w:val="06846EC0"/>
    <w:rsid w:val="068560E4"/>
    <w:rsid w:val="06865F35"/>
    <w:rsid w:val="068B626C"/>
    <w:rsid w:val="068C0749"/>
    <w:rsid w:val="068D01EB"/>
    <w:rsid w:val="068E07B9"/>
    <w:rsid w:val="069E67C5"/>
    <w:rsid w:val="069F7F2D"/>
    <w:rsid w:val="06A04118"/>
    <w:rsid w:val="06A1393A"/>
    <w:rsid w:val="06A35020"/>
    <w:rsid w:val="06A77D61"/>
    <w:rsid w:val="06AA707F"/>
    <w:rsid w:val="06C56047"/>
    <w:rsid w:val="06CC0312"/>
    <w:rsid w:val="06CF45A2"/>
    <w:rsid w:val="06D01FF0"/>
    <w:rsid w:val="06F24BFA"/>
    <w:rsid w:val="06F40C1F"/>
    <w:rsid w:val="07061E54"/>
    <w:rsid w:val="0709127B"/>
    <w:rsid w:val="0711019F"/>
    <w:rsid w:val="071E24BC"/>
    <w:rsid w:val="07444433"/>
    <w:rsid w:val="07487B64"/>
    <w:rsid w:val="074947DE"/>
    <w:rsid w:val="075810B7"/>
    <w:rsid w:val="0762782D"/>
    <w:rsid w:val="07630E62"/>
    <w:rsid w:val="076B0D8F"/>
    <w:rsid w:val="076D333E"/>
    <w:rsid w:val="07716930"/>
    <w:rsid w:val="0779483E"/>
    <w:rsid w:val="07796309"/>
    <w:rsid w:val="077B5263"/>
    <w:rsid w:val="0784592D"/>
    <w:rsid w:val="079358A7"/>
    <w:rsid w:val="079C30CC"/>
    <w:rsid w:val="079C511B"/>
    <w:rsid w:val="07A8507E"/>
    <w:rsid w:val="07AA1E86"/>
    <w:rsid w:val="07BC6B63"/>
    <w:rsid w:val="07BD4ED8"/>
    <w:rsid w:val="07BE04B6"/>
    <w:rsid w:val="07BF2460"/>
    <w:rsid w:val="07CC4C1F"/>
    <w:rsid w:val="07DB5F6C"/>
    <w:rsid w:val="07E55F2C"/>
    <w:rsid w:val="07EA25BA"/>
    <w:rsid w:val="07EE0186"/>
    <w:rsid w:val="07F32857"/>
    <w:rsid w:val="07F53EC5"/>
    <w:rsid w:val="07FA1B08"/>
    <w:rsid w:val="07FF792F"/>
    <w:rsid w:val="0803629A"/>
    <w:rsid w:val="08183D7B"/>
    <w:rsid w:val="08203A7D"/>
    <w:rsid w:val="08264CB0"/>
    <w:rsid w:val="082A5DC5"/>
    <w:rsid w:val="08307103"/>
    <w:rsid w:val="08370461"/>
    <w:rsid w:val="08455834"/>
    <w:rsid w:val="08463928"/>
    <w:rsid w:val="084965B1"/>
    <w:rsid w:val="084D2827"/>
    <w:rsid w:val="085757CF"/>
    <w:rsid w:val="08590CC8"/>
    <w:rsid w:val="085E3016"/>
    <w:rsid w:val="08614CED"/>
    <w:rsid w:val="08664AE9"/>
    <w:rsid w:val="08692208"/>
    <w:rsid w:val="0869551F"/>
    <w:rsid w:val="086B3AE9"/>
    <w:rsid w:val="086B58EC"/>
    <w:rsid w:val="086F2677"/>
    <w:rsid w:val="08891D03"/>
    <w:rsid w:val="088C4522"/>
    <w:rsid w:val="088D5640"/>
    <w:rsid w:val="089953FA"/>
    <w:rsid w:val="089C72CD"/>
    <w:rsid w:val="08AE62CD"/>
    <w:rsid w:val="08AF38D9"/>
    <w:rsid w:val="08B42F9C"/>
    <w:rsid w:val="08B70FF6"/>
    <w:rsid w:val="08C16945"/>
    <w:rsid w:val="08CB5852"/>
    <w:rsid w:val="08D36271"/>
    <w:rsid w:val="08D61A9B"/>
    <w:rsid w:val="08D942C6"/>
    <w:rsid w:val="08E54D94"/>
    <w:rsid w:val="08E56ADF"/>
    <w:rsid w:val="08EC1F19"/>
    <w:rsid w:val="08ED6D05"/>
    <w:rsid w:val="08EF2F40"/>
    <w:rsid w:val="08F62E50"/>
    <w:rsid w:val="08FB205C"/>
    <w:rsid w:val="08FF41E3"/>
    <w:rsid w:val="09055199"/>
    <w:rsid w:val="090C746B"/>
    <w:rsid w:val="091959A9"/>
    <w:rsid w:val="09204ED6"/>
    <w:rsid w:val="09241E73"/>
    <w:rsid w:val="092A118D"/>
    <w:rsid w:val="092F0753"/>
    <w:rsid w:val="09397B3A"/>
    <w:rsid w:val="093A068D"/>
    <w:rsid w:val="093A4B3F"/>
    <w:rsid w:val="094054A5"/>
    <w:rsid w:val="094D0DE8"/>
    <w:rsid w:val="096131A0"/>
    <w:rsid w:val="09662FCE"/>
    <w:rsid w:val="096B4024"/>
    <w:rsid w:val="096B4704"/>
    <w:rsid w:val="096D14E1"/>
    <w:rsid w:val="097658A4"/>
    <w:rsid w:val="09786781"/>
    <w:rsid w:val="097971B4"/>
    <w:rsid w:val="0988082F"/>
    <w:rsid w:val="098B32E9"/>
    <w:rsid w:val="098F5DE0"/>
    <w:rsid w:val="099126A3"/>
    <w:rsid w:val="09937D44"/>
    <w:rsid w:val="09AB05EB"/>
    <w:rsid w:val="09B31E72"/>
    <w:rsid w:val="09B66332"/>
    <w:rsid w:val="09BD4261"/>
    <w:rsid w:val="09C44793"/>
    <w:rsid w:val="09C44C2E"/>
    <w:rsid w:val="09D16246"/>
    <w:rsid w:val="09E32B22"/>
    <w:rsid w:val="09EC2A6F"/>
    <w:rsid w:val="09EE25B6"/>
    <w:rsid w:val="09F514DD"/>
    <w:rsid w:val="0A000BF7"/>
    <w:rsid w:val="0A0662D3"/>
    <w:rsid w:val="0A0760E8"/>
    <w:rsid w:val="0A094316"/>
    <w:rsid w:val="0A0945D2"/>
    <w:rsid w:val="0A0E1EAA"/>
    <w:rsid w:val="0A133C8A"/>
    <w:rsid w:val="0A175E26"/>
    <w:rsid w:val="0A1973BE"/>
    <w:rsid w:val="0A1B41B4"/>
    <w:rsid w:val="0A204886"/>
    <w:rsid w:val="0A292F3B"/>
    <w:rsid w:val="0A2E2D03"/>
    <w:rsid w:val="0A3C1B31"/>
    <w:rsid w:val="0A447A5D"/>
    <w:rsid w:val="0A4D02E8"/>
    <w:rsid w:val="0A5802BA"/>
    <w:rsid w:val="0A636A3E"/>
    <w:rsid w:val="0A6A6D8E"/>
    <w:rsid w:val="0A733A68"/>
    <w:rsid w:val="0A7B234C"/>
    <w:rsid w:val="0A7E7748"/>
    <w:rsid w:val="0A832C57"/>
    <w:rsid w:val="0A853A6E"/>
    <w:rsid w:val="0A8F3E28"/>
    <w:rsid w:val="0A90151E"/>
    <w:rsid w:val="0A912839"/>
    <w:rsid w:val="0A970C3B"/>
    <w:rsid w:val="0A971CCE"/>
    <w:rsid w:val="0AA76578"/>
    <w:rsid w:val="0AAF39AE"/>
    <w:rsid w:val="0AB47885"/>
    <w:rsid w:val="0AB60851"/>
    <w:rsid w:val="0AB7770B"/>
    <w:rsid w:val="0ABB5DD4"/>
    <w:rsid w:val="0AC55677"/>
    <w:rsid w:val="0ACA61E5"/>
    <w:rsid w:val="0ACD53A3"/>
    <w:rsid w:val="0AD40624"/>
    <w:rsid w:val="0AEB1E33"/>
    <w:rsid w:val="0AED7EEF"/>
    <w:rsid w:val="0AF96AAA"/>
    <w:rsid w:val="0AFE60C2"/>
    <w:rsid w:val="0B053FD5"/>
    <w:rsid w:val="0B0D34AF"/>
    <w:rsid w:val="0B115814"/>
    <w:rsid w:val="0B221FA5"/>
    <w:rsid w:val="0B2671DB"/>
    <w:rsid w:val="0B2D501D"/>
    <w:rsid w:val="0B3640BA"/>
    <w:rsid w:val="0B3779B6"/>
    <w:rsid w:val="0B390F9B"/>
    <w:rsid w:val="0B3B0AD4"/>
    <w:rsid w:val="0B3E1D55"/>
    <w:rsid w:val="0B3E6D41"/>
    <w:rsid w:val="0B51018A"/>
    <w:rsid w:val="0B5931D6"/>
    <w:rsid w:val="0B7D3663"/>
    <w:rsid w:val="0B7D3BEA"/>
    <w:rsid w:val="0B7E6C93"/>
    <w:rsid w:val="0B80667D"/>
    <w:rsid w:val="0B9020F7"/>
    <w:rsid w:val="0B9151D7"/>
    <w:rsid w:val="0B9928B5"/>
    <w:rsid w:val="0B9A4042"/>
    <w:rsid w:val="0BB31AEE"/>
    <w:rsid w:val="0BC31474"/>
    <w:rsid w:val="0BC468EA"/>
    <w:rsid w:val="0BC84F76"/>
    <w:rsid w:val="0BCD2FE5"/>
    <w:rsid w:val="0BE002AE"/>
    <w:rsid w:val="0BE565DF"/>
    <w:rsid w:val="0BE83CF9"/>
    <w:rsid w:val="0BE865DB"/>
    <w:rsid w:val="0BEB720A"/>
    <w:rsid w:val="0BEE5488"/>
    <w:rsid w:val="0C0867B3"/>
    <w:rsid w:val="0C09763B"/>
    <w:rsid w:val="0C0B2D67"/>
    <w:rsid w:val="0C1F05BE"/>
    <w:rsid w:val="0C1F7F3A"/>
    <w:rsid w:val="0C205AB8"/>
    <w:rsid w:val="0C285640"/>
    <w:rsid w:val="0C2B5246"/>
    <w:rsid w:val="0C2E5CCC"/>
    <w:rsid w:val="0C366054"/>
    <w:rsid w:val="0C376B47"/>
    <w:rsid w:val="0C3D71E6"/>
    <w:rsid w:val="0C4908D3"/>
    <w:rsid w:val="0C4F1DA3"/>
    <w:rsid w:val="0C591D4B"/>
    <w:rsid w:val="0C5D0AA8"/>
    <w:rsid w:val="0C6809F9"/>
    <w:rsid w:val="0C6F72FD"/>
    <w:rsid w:val="0C7006CA"/>
    <w:rsid w:val="0C795FEB"/>
    <w:rsid w:val="0C7F62E6"/>
    <w:rsid w:val="0C7F6333"/>
    <w:rsid w:val="0C863162"/>
    <w:rsid w:val="0C8A3827"/>
    <w:rsid w:val="0C917662"/>
    <w:rsid w:val="0C96300E"/>
    <w:rsid w:val="0C991813"/>
    <w:rsid w:val="0C9E295C"/>
    <w:rsid w:val="0CA9138E"/>
    <w:rsid w:val="0CAC51E3"/>
    <w:rsid w:val="0CBE7E25"/>
    <w:rsid w:val="0CC62BCF"/>
    <w:rsid w:val="0CCE6CD8"/>
    <w:rsid w:val="0CD71088"/>
    <w:rsid w:val="0CD80213"/>
    <w:rsid w:val="0CF02176"/>
    <w:rsid w:val="0CF02653"/>
    <w:rsid w:val="0CF34ABD"/>
    <w:rsid w:val="0CF57259"/>
    <w:rsid w:val="0CF735D5"/>
    <w:rsid w:val="0D000B5F"/>
    <w:rsid w:val="0D040DE0"/>
    <w:rsid w:val="0D0555E9"/>
    <w:rsid w:val="0D141264"/>
    <w:rsid w:val="0D1536BD"/>
    <w:rsid w:val="0D380108"/>
    <w:rsid w:val="0D3E6069"/>
    <w:rsid w:val="0D403C1C"/>
    <w:rsid w:val="0D452ED3"/>
    <w:rsid w:val="0D4B7892"/>
    <w:rsid w:val="0D5A1067"/>
    <w:rsid w:val="0D5A47E3"/>
    <w:rsid w:val="0D5D0E11"/>
    <w:rsid w:val="0D5F6020"/>
    <w:rsid w:val="0D6A2338"/>
    <w:rsid w:val="0D7240AD"/>
    <w:rsid w:val="0D7F7B85"/>
    <w:rsid w:val="0D8215A7"/>
    <w:rsid w:val="0D8A4BAE"/>
    <w:rsid w:val="0D9572F6"/>
    <w:rsid w:val="0DA0262C"/>
    <w:rsid w:val="0DA64CDC"/>
    <w:rsid w:val="0DB82B9D"/>
    <w:rsid w:val="0DC348B8"/>
    <w:rsid w:val="0DD2654D"/>
    <w:rsid w:val="0DDE25B5"/>
    <w:rsid w:val="0DEE0001"/>
    <w:rsid w:val="0DF14A3F"/>
    <w:rsid w:val="0E0B385B"/>
    <w:rsid w:val="0E16429B"/>
    <w:rsid w:val="0E1D431F"/>
    <w:rsid w:val="0E232716"/>
    <w:rsid w:val="0E253545"/>
    <w:rsid w:val="0E437CE7"/>
    <w:rsid w:val="0E4747F4"/>
    <w:rsid w:val="0E476047"/>
    <w:rsid w:val="0E5642B7"/>
    <w:rsid w:val="0E5A75E8"/>
    <w:rsid w:val="0E603349"/>
    <w:rsid w:val="0E607BBA"/>
    <w:rsid w:val="0E6A23D1"/>
    <w:rsid w:val="0E756FAB"/>
    <w:rsid w:val="0E85672D"/>
    <w:rsid w:val="0E8B6936"/>
    <w:rsid w:val="0E8E307C"/>
    <w:rsid w:val="0E9071A3"/>
    <w:rsid w:val="0EA16CAB"/>
    <w:rsid w:val="0EA76769"/>
    <w:rsid w:val="0EAE3768"/>
    <w:rsid w:val="0EB762CE"/>
    <w:rsid w:val="0ECB37BE"/>
    <w:rsid w:val="0ECE3E9D"/>
    <w:rsid w:val="0EDB7E58"/>
    <w:rsid w:val="0EDC12ED"/>
    <w:rsid w:val="0EE51769"/>
    <w:rsid w:val="0EE67FBB"/>
    <w:rsid w:val="0EE716CE"/>
    <w:rsid w:val="0EEA664F"/>
    <w:rsid w:val="0EF15FCF"/>
    <w:rsid w:val="0EF77D7C"/>
    <w:rsid w:val="0EF96C26"/>
    <w:rsid w:val="0EFA3D18"/>
    <w:rsid w:val="0EFF4759"/>
    <w:rsid w:val="0F027DC7"/>
    <w:rsid w:val="0F092DCC"/>
    <w:rsid w:val="0F0E14AE"/>
    <w:rsid w:val="0F1816AB"/>
    <w:rsid w:val="0F1E72CF"/>
    <w:rsid w:val="0F20207C"/>
    <w:rsid w:val="0F263029"/>
    <w:rsid w:val="0F3D569F"/>
    <w:rsid w:val="0F3E0E8F"/>
    <w:rsid w:val="0F4809D2"/>
    <w:rsid w:val="0F493B7D"/>
    <w:rsid w:val="0F4D432D"/>
    <w:rsid w:val="0F5D40F4"/>
    <w:rsid w:val="0F6E328A"/>
    <w:rsid w:val="0F6E4175"/>
    <w:rsid w:val="0F787D0A"/>
    <w:rsid w:val="0F796937"/>
    <w:rsid w:val="0F7E0D1E"/>
    <w:rsid w:val="0F8B701F"/>
    <w:rsid w:val="0FA10F4F"/>
    <w:rsid w:val="0FA4550D"/>
    <w:rsid w:val="0FA664DD"/>
    <w:rsid w:val="0FA66A13"/>
    <w:rsid w:val="0FA81CA0"/>
    <w:rsid w:val="0FAF7E16"/>
    <w:rsid w:val="0FB04296"/>
    <w:rsid w:val="0FB65C06"/>
    <w:rsid w:val="0FBF03B1"/>
    <w:rsid w:val="0FC3507C"/>
    <w:rsid w:val="0FC81E7F"/>
    <w:rsid w:val="0FCB74DA"/>
    <w:rsid w:val="0FCF5812"/>
    <w:rsid w:val="0FD16362"/>
    <w:rsid w:val="0FD227D1"/>
    <w:rsid w:val="0FD34512"/>
    <w:rsid w:val="0FDA6104"/>
    <w:rsid w:val="0FEC36CD"/>
    <w:rsid w:val="0FEE4750"/>
    <w:rsid w:val="0FEE63DF"/>
    <w:rsid w:val="0FF50074"/>
    <w:rsid w:val="0FF93A91"/>
    <w:rsid w:val="0FFE0E20"/>
    <w:rsid w:val="10090122"/>
    <w:rsid w:val="10183E3E"/>
    <w:rsid w:val="101A7410"/>
    <w:rsid w:val="101F1750"/>
    <w:rsid w:val="10245651"/>
    <w:rsid w:val="102D5745"/>
    <w:rsid w:val="10331856"/>
    <w:rsid w:val="10352DCF"/>
    <w:rsid w:val="103B377B"/>
    <w:rsid w:val="10474803"/>
    <w:rsid w:val="104941C2"/>
    <w:rsid w:val="104B4418"/>
    <w:rsid w:val="104E65F7"/>
    <w:rsid w:val="10566199"/>
    <w:rsid w:val="10695125"/>
    <w:rsid w:val="106964D6"/>
    <w:rsid w:val="107271A6"/>
    <w:rsid w:val="107D53E8"/>
    <w:rsid w:val="107E5DDC"/>
    <w:rsid w:val="108E39C1"/>
    <w:rsid w:val="10986AED"/>
    <w:rsid w:val="109A5D7F"/>
    <w:rsid w:val="109F371D"/>
    <w:rsid w:val="10BA1F90"/>
    <w:rsid w:val="10CC5BAA"/>
    <w:rsid w:val="10D12831"/>
    <w:rsid w:val="10D874D6"/>
    <w:rsid w:val="10D87D5B"/>
    <w:rsid w:val="10DD0C1A"/>
    <w:rsid w:val="10F02598"/>
    <w:rsid w:val="10FA78DB"/>
    <w:rsid w:val="10FC6813"/>
    <w:rsid w:val="10FE3665"/>
    <w:rsid w:val="11095A76"/>
    <w:rsid w:val="110B01E9"/>
    <w:rsid w:val="11221106"/>
    <w:rsid w:val="112626D5"/>
    <w:rsid w:val="112B4F0C"/>
    <w:rsid w:val="114B39FF"/>
    <w:rsid w:val="115B6B4B"/>
    <w:rsid w:val="115E5C4D"/>
    <w:rsid w:val="116508E7"/>
    <w:rsid w:val="1177496B"/>
    <w:rsid w:val="11782011"/>
    <w:rsid w:val="117C3C52"/>
    <w:rsid w:val="117C5E06"/>
    <w:rsid w:val="118660DF"/>
    <w:rsid w:val="118B062E"/>
    <w:rsid w:val="118C34EC"/>
    <w:rsid w:val="11936235"/>
    <w:rsid w:val="119D1C9C"/>
    <w:rsid w:val="119E0F74"/>
    <w:rsid w:val="11A81CBB"/>
    <w:rsid w:val="11AA709B"/>
    <w:rsid w:val="11AB2465"/>
    <w:rsid w:val="11B85D13"/>
    <w:rsid w:val="11C1457C"/>
    <w:rsid w:val="11C330BD"/>
    <w:rsid w:val="11C82167"/>
    <w:rsid w:val="11D379DF"/>
    <w:rsid w:val="11D67F75"/>
    <w:rsid w:val="11DC3A10"/>
    <w:rsid w:val="11E01F25"/>
    <w:rsid w:val="11E76A04"/>
    <w:rsid w:val="11ED6371"/>
    <w:rsid w:val="11F55A6B"/>
    <w:rsid w:val="1203479D"/>
    <w:rsid w:val="12041A8B"/>
    <w:rsid w:val="120819D2"/>
    <w:rsid w:val="120940AA"/>
    <w:rsid w:val="121B6BE9"/>
    <w:rsid w:val="121D75DA"/>
    <w:rsid w:val="12202F57"/>
    <w:rsid w:val="122438DF"/>
    <w:rsid w:val="12264E04"/>
    <w:rsid w:val="122755E5"/>
    <w:rsid w:val="12286C68"/>
    <w:rsid w:val="122D0920"/>
    <w:rsid w:val="123940A0"/>
    <w:rsid w:val="123B4934"/>
    <w:rsid w:val="123D7587"/>
    <w:rsid w:val="124A0F64"/>
    <w:rsid w:val="124F1049"/>
    <w:rsid w:val="125474EE"/>
    <w:rsid w:val="12551060"/>
    <w:rsid w:val="126F2228"/>
    <w:rsid w:val="126F2D8E"/>
    <w:rsid w:val="127A6E05"/>
    <w:rsid w:val="127D4CA8"/>
    <w:rsid w:val="12861036"/>
    <w:rsid w:val="128B2C81"/>
    <w:rsid w:val="1291121B"/>
    <w:rsid w:val="12A51401"/>
    <w:rsid w:val="12B01C98"/>
    <w:rsid w:val="12B47297"/>
    <w:rsid w:val="12B70E26"/>
    <w:rsid w:val="12B773B1"/>
    <w:rsid w:val="12B853A7"/>
    <w:rsid w:val="12C679B7"/>
    <w:rsid w:val="12CE1CBE"/>
    <w:rsid w:val="12D0789C"/>
    <w:rsid w:val="12D2094C"/>
    <w:rsid w:val="12E15F60"/>
    <w:rsid w:val="12EC3501"/>
    <w:rsid w:val="12EE6448"/>
    <w:rsid w:val="12F4419C"/>
    <w:rsid w:val="13001A68"/>
    <w:rsid w:val="130A140C"/>
    <w:rsid w:val="13107BC7"/>
    <w:rsid w:val="13114ED1"/>
    <w:rsid w:val="13154FD8"/>
    <w:rsid w:val="1315719F"/>
    <w:rsid w:val="131C7A6C"/>
    <w:rsid w:val="132733DC"/>
    <w:rsid w:val="132B3072"/>
    <w:rsid w:val="132E0948"/>
    <w:rsid w:val="13365946"/>
    <w:rsid w:val="133D7D38"/>
    <w:rsid w:val="13513157"/>
    <w:rsid w:val="13542B93"/>
    <w:rsid w:val="13586A92"/>
    <w:rsid w:val="13602943"/>
    <w:rsid w:val="13605498"/>
    <w:rsid w:val="13670270"/>
    <w:rsid w:val="136A7578"/>
    <w:rsid w:val="138245B7"/>
    <w:rsid w:val="138F2D4E"/>
    <w:rsid w:val="13974C8D"/>
    <w:rsid w:val="1399654B"/>
    <w:rsid w:val="139D434F"/>
    <w:rsid w:val="13AB6F1B"/>
    <w:rsid w:val="13B60F6F"/>
    <w:rsid w:val="13C74F31"/>
    <w:rsid w:val="13CD1DBF"/>
    <w:rsid w:val="13D53F26"/>
    <w:rsid w:val="13E82C8A"/>
    <w:rsid w:val="13E82CE7"/>
    <w:rsid w:val="13F23AAE"/>
    <w:rsid w:val="13FC44D3"/>
    <w:rsid w:val="14001DBB"/>
    <w:rsid w:val="140C74C7"/>
    <w:rsid w:val="140D1389"/>
    <w:rsid w:val="1412592D"/>
    <w:rsid w:val="1415082E"/>
    <w:rsid w:val="141526DC"/>
    <w:rsid w:val="141539E1"/>
    <w:rsid w:val="14161C5D"/>
    <w:rsid w:val="141E4571"/>
    <w:rsid w:val="14242EB8"/>
    <w:rsid w:val="14254A9E"/>
    <w:rsid w:val="1433252D"/>
    <w:rsid w:val="143A0F31"/>
    <w:rsid w:val="143F4D24"/>
    <w:rsid w:val="14431761"/>
    <w:rsid w:val="144713BC"/>
    <w:rsid w:val="14571E45"/>
    <w:rsid w:val="145A224E"/>
    <w:rsid w:val="14661C5B"/>
    <w:rsid w:val="14686EB9"/>
    <w:rsid w:val="14716B31"/>
    <w:rsid w:val="14783804"/>
    <w:rsid w:val="148316D0"/>
    <w:rsid w:val="14832ABC"/>
    <w:rsid w:val="148A46F4"/>
    <w:rsid w:val="14901804"/>
    <w:rsid w:val="14944AA2"/>
    <w:rsid w:val="149A4BFA"/>
    <w:rsid w:val="14A407C2"/>
    <w:rsid w:val="14A443CA"/>
    <w:rsid w:val="14A447BB"/>
    <w:rsid w:val="14C814AB"/>
    <w:rsid w:val="14C970C5"/>
    <w:rsid w:val="14C97CE6"/>
    <w:rsid w:val="14CA473A"/>
    <w:rsid w:val="14D46DEA"/>
    <w:rsid w:val="14D91EDF"/>
    <w:rsid w:val="14D9798E"/>
    <w:rsid w:val="14DA6FB9"/>
    <w:rsid w:val="14DC5FA9"/>
    <w:rsid w:val="14E06FC6"/>
    <w:rsid w:val="14EB78D9"/>
    <w:rsid w:val="14F340E9"/>
    <w:rsid w:val="14F93C27"/>
    <w:rsid w:val="14FE55F5"/>
    <w:rsid w:val="15095012"/>
    <w:rsid w:val="150F3031"/>
    <w:rsid w:val="151315EE"/>
    <w:rsid w:val="15214EDA"/>
    <w:rsid w:val="152C7CF9"/>
    <w:rsid w:val="1531120D"/>
    <w:rsid w:val="15361D86"/>
    <w:rsid w:val="153C5387"/>
    <w:rsid w:val="154B31D9"/>
    <w:rsid w:val="154E03C9"/>
    <w:rsid w:val="15517CAF"/>
    <w:rsid w:val="1552077E"/>
    <w:rsid w:val="15524764"/>
    <w:rsid w:val="15550891"/>
    <w:rsid w:val="15645EEB"/>
    <w:rsid w:val="15685A73"/>
    <w:rsid w:val="156949A1"/>
    <w:rsid w:val="156B1702"/>
    <w:rsid w:val="15752B7F"/>
    <w:rsid w:val="15760706"/>
    <w:rsid w:val="15877CAB"/>
    <w:rsid w:val="15881E79"/>
    <w:rsid w:val="15900A85"/>
    <w:rsid w:val="159C61CF"/>
    <w:rsid w:val="15A73A31"/>
    <w:rsid w:val="15AD7FF4"/>
    <w:rsid w:val="15C76728"/>
    <w:rsid w:val="15CB6454"/>
    <w:rsid w:val="15CB7BF4"/>
    <w:rsid w:val="15D00023"/>
    <w:rsid w:val="15D76AB9"/>
    <w:rsid w:val="15D76D53"/>
    <w:rsid w:val="15E405D3"/>
    <w:rsid w:val="15E87624"/>
    <w:rsid w:val="15F46A97"/>
    <w:rsid w:val="15F6272B"/>
    <w:rsid w:val="161F07A3"/>
    <w:rsid w:val="163B00F9"/>
    <w:rsid w:val="164219FD"/>
    <w:rsid w:val="1643162A"/>
    <w:rsid w:val="16436F16"/>
    <w:rsid w:val="16453E2D"/>
    <w:rsid w:val="164706F0"/>
    <w:rsid w:val="16475109"/>
    <w:rsid w:val="164D0426"/>
    <w:rsid w:val="165251F7"/>
    <w:rsid w:val="165429AE"/>
    <w:rsid w:val="16557B78"/>
    <w:rsid w:val="16581C9E"/>
    <w:rsid w:val="165A5EA5"/>
    <w:rsid w:val="165B20CE"/>
    <w:rsid w:val="16726CE4"/>
    <w:rsid w:val="167874E4"/>
    <w:rsid w:val="16806443"/>
    <w:rsid w:val="16812212"/>
    <w:rsid w:val="168D17A7"/>
    <w:rsid w:val="16981BD8"/>
    <w:rsid w:val="169A1345"/>
    <w:rsid w:val="16A10E70"/>
    <w:rsid w:val="16A26E80"/>
    <w:rsid w:val="16A3750D"/>
    <w:rsid w:val="16AA75DE"/>
    <w:rsid w:val="16B242EC"/>
    <w:rsid w:val="16BA157E"/>
    <w:rsid w:val="16BD344A"/>
    <w:rsid w:val="16CA73E0"/>
    <w:rsid w:val="16CD2AE4"/>
    <w:rsid w:val="16D25B6F"/>
    <w:rsid w:val="16F137F7"/>
    <w:rsid w:val="16F16D6D"/>
    <w:rsid w:val="16F30B5E"/>
    <w:rsid w:val="16FC2E17"/>
    <w:rsid w:val="17080FC9"/>
    <w:rsid w:val="17083F65"/>
    <w:rsid w:val="170909A0"/>
    <w:rsid w:val="170E2C3D"/>
    <w:rsid w:val="17155A82"/>
    <w:rsid w:val="171A5059"/>
    <w:rsid w:val="172350B8"/>
    <w:rsid w:val="172D4DF2"/>
    <w:rsid w:val="173635CA"/>
    <w:rsid w:val="17376204"/>
    <w:rsid w:val="173934DE"/>
    <w:rsid w:val="173D46DE"/>
    <w:rsid w:val="17413BC0"/>
    <w:rsid w:val="17427081"/>
    <w:rsid w:val="174974C2"/>
    <w:rsid w:val="17553929"/>
    <w:rsid w:val="175F50B2"/>
    <w:rsid w:val="17637B0E"/>
    <w:rsid w:val="17752735"/>
    <w:rsid w:val="178E4453"/>
    <w:rsid w:val="17912AC0"/>
    <w:rsid w:val="17A01E13"/>
    <w:rsid w:val="17A17A56"/>
    <w:rsid w:val="17BB1053"/>
    <w:rsid w:val="17BD3F7A"/>
    <w:rsid w:val="17C121B3"/>
    <w:rsid w:val="17C8676D"/>
    <w:rsid w:val="17D0212D"/>
    <w:rsid w:val="17D16084"/>
    <w:rsid w:val="17D4783E"/>
    <w:rsid w:val="17DA2D8B"/>
    <w:rsid w:val="17EC27A0"/>
    <w:rsid w:val="17EE735F"/>
    <w:rsid w:val="17F12EC1"/>
    <w:rsid w:val="17FA0502"/>
    <w:rsid w:val="17FA079F"/>
    <w:rsid w:val="17FD40D4"/>
    <w:rsid w:val="17FE06BA"/>
    <w:rsid w:val="18013404"/>
    <w:rsid w:val="180B2BCB"/>
    <w:rsid w:val="180D6FCD"/>
    <w:rsid w:val="181A0069"/>
    <w:rsid w:val="181C5F78"/>
    <w:rsid w:val="181D5B06"/>
    <w:rsid w:val="18284CE6"/>
    <w:rsid w:val="183A7FDB"/>
    <w:rsid w:val="184D0D74"/>
    <w:rsid w:val="185533DB"/>
    <w:rsid w:val="185D6B90"/>
    <w:rsid w:val="186513E8"/>
    <w:rsid w:val="18866D76"/>
    <w:rsid w:val="189435D8"/>
    <w:rsid w:val="189B60B9"/>
    <w:rsid w:val="189C48B1"/>
    <w:rsid w:val="18A156AA"/>
    <w:rsid w:val="18A51BE0"/>
    <w:rsid w:val="18A8247A"/>
    <w:rsid w:val="18A839BC"/>
    <w:rsid w:val="18B80F4C"/>
    <w:rsid w:val="18C36714"/>
    <w:rsid w:val="18C65021"/>
    <w:rsid w:val="18CD6366"/>
    <w:rsid w:val="18D30557"/>
    <w:rsid w:val="18D35F60"/>
    <w:rsid w:val="18D50AFC"/>
    <w:rsid w:val="18D776F2"/>
    <w:rsid w:val="18D907F4"/>
    <w:rsid w:val="18DC0360"/>
    <w:rsid w:val="18DF363F"/>
    <w:rsid w:val="18E221A3"/>
    <w:rsid w:val="18EA319A"/>
    <w:rsid w:val="18F2760D"/>
    <w:rsid w:val="18F97C9A"/>
    <w:rsid w:val="190F2750"/>
    <w:rsid w:val="19101E74"/>
    <w:rsid w:val="19154AB6"/>
    <w:rsid w:val="19182F95"/>
    <w:rsid w:val="191C2B8C"/>
    <w:rsid w:val="19246E29"/>
    <w:rsid w:val="192B1448"/>
    <w:rsid w:val="1936550E"/>
    <w:rsid w:val="194A5957"/>
    <w:rsid w:val="195D4116"/>
    <w:rsid w:val="196478C0"/>
    <w:rsid w:val="196F38EB"/>
    <w:rsid w:val="197A0736"/>
    <w:rsid w:val="19815A49"/>
    <w:rsid w:val="1985354F"/>
    <w:rsid w:val="198B66C9"/>
    <w:rsid w:val="19923D35"/>
    <w:rsid w:val="19971BCC"/>
    <w:rsid w:val="199D246E"/>
    <w:rsid w:val="19A10C64"/>
    <w:rsid w:val="19A50738"/>
    <w:rsid w:val="19AB6823"/>
    <w:rsid w:val="19B77107"/>
    <w:rsid w:val="19B8701E"/>
    <w:rsid w:val="19B910F5"/>
    <w:rsid w:val="19BD6CD4"/>
    <w:rsid w:val="19BE57C7"/>
    <w:rsid w:val="19C5487D"/>
    <w:rsid w:val="19CB7468"/>
    <w:rsid w:val="19D0524B"/>
    <w:rsid w:val="19D27A42"/>
    <w:rsid w:val="19DF0C48"/>
    <w:rsid w:val="19E86A26"/>
    <w:rsid w:val="19E9171B"/>
    <w:rsid w:val="19ED7560"/>
    <w:rsid w:val="19FE1265"/>
    <w:rsid w:val="1A03777C"/>
    <w:rsid w:val="1A042B13"/>
    <w:rsid w:val="1A04754E"/>
    <w:rsid w:val="1A0F5FEA"/>
    <w:rsid w:val="1A1A1851"/>
    <w:rsid w:val="1A2028BB"/>
    <w:rsid w:val="1A203C5D"/>
    <w:rsid w:val="1A2333C6"/>
    <w:rsid w:val="1A26443D"/>
    <w:rsid w:val="1A265CD3"/>
    <w:rsid w:val="1A2D4226"/>
    <w:rsid w:val="1A2D48D8"/>
    <w:rsid w:val="1A521307"/>
    <w:rsid w:val="1A654E29"/>
    <w:rsid w:val="1A6A71C4"/>
    <w:rsid w:val="1A763C61"/>
    <w:rsid w:val="1A78526A"/>
    <w:rsid w:val="1A834646"/>
    <w:rsid w:val="1A875208"/>
    <w:rsid w:val="1A967BB7"/>
    <w:rsid w:val="1AA92919"/>
    <w:rsid w:val="1AB70B64"/>
    <w:rsid w:val="1AC531DD"/>
    <w:rsid w:val="1AC84D53"/>
    <w:rsid w:val="1ADE31B7"/>
    <w:rsid w:val="1AE66D7F"/>
    <w:rsid w:val="1AE971A4"/>
    <w:rsid w:val="1AEA049F"/>
    <w:rsid w:val="1AFA56FA"/>
    <w:rsid w:val="1AFC7C54"/>
    <w:rsid w:val="1B057DDE"/>
    <w:rsid w:val="1B172A1E"/>
    <w:rsid w:val="1B19536B"/>
    <w:rsid w:val="1B21190D"/>
    <w:rsid w:val="1B262A2D"/>
    <w:rsid w:val="1B270E28"/>
    <w:rsid w:val="1B317B22"/>
    <w:rsid w:val="1B3214FB"/>
    <w:rsid w:val="1B354F5C"/>
    <w:rsid w:val="1B387916"/>
    <w:rsid w:val="1B392F4B"/>
    <w:rsid w:val="1B3D4ED8"/>
    <w:rsid w:val="1B526E57"/>
    <w:rsid w:val="1B595CDB"/>
    <w:rsid w:val="1B5B1AD9"/>
    <w:rsid w:val="1B617E00"/>
    <w:rsid w:val="1B66764C"/>
    <w:rsid w:val="1B681B87"/>
    <w:rsid w:val="1B696A07"/>
    <w:rsid w:val="1B705AB6"/>
    <w:rsid w:val="1B750F04"/>
    <w:rsid w:val="1B7A04B0"/>
    <w:rsid w:val="1B7F0E68"/>
    <w:rsid w:val="1B82585A"/>
    <w:rsid w:val="1B835D79"/>
    <w:rsid w:val="1B85049F"/>
    <w:rsid w:val="1B8F08B5"/>
    <w:rsid w:val="1B92706C"/>
    <w:rsid w:val="1B940094"/>
    <w:rsid w:val="1B963250"/>
    <w:rsid w:val="1B974669"/>
    <w:rsid w:val="1B9B2C2D"/>
    <w:rsid w:val="1B9D7392"/>
    <w:rsid w:val="1BA251D3"/>
    <w:rsid w:val="1BAE5E31"/>
    <w:rsid w:val="1BBA7771"/>
    <w:rsid w:val="1BBD06AD"/>
    <w:rsid w:val="1BC63C98"/>
    <w:rsid w:val="1BC772ED"/>
    <w:rsid w:val="1BD64920"/>
    <w:rsid w:val="1BE15C4C"/>
    <w:rsid w:val="1BE21F76"/>
    <w:rsid w:val="1BE36F79"/>
    <w:rsid w:val="1BEB39FD"/>
    <w:rsid w:val="1BEB48C1"/>
    <w:rsid w:val="1BFD7140"/>
    <w:rsid w:val="1C03334F"/>
    <w:rsid w:val="1C0340E0"/>
    <w:rsid w:val="1C0510FC"/>
    <w:rsid w:val="1C0770B0"/>
    <w:rsid w:val="1C0F3217"/>
    <w:rsid w:val="1C101F9E"/>
    <w:rsid w:val="1C143CD7"/>
    <w:rsid w:val="1C231138"/>
    <w:rsid w:val="1C352A13"/>
    <w:rsid w:val="1C3B30C5"/>
    <w:rsid w:val="1C403C5F"/>
    <w:rsid w:val="1C4510FB"/>
    <w:rsid w:val="1C4D44A3"/>
    <w:rsid w:val="1C4F716B"/>
    <w:rsid w:val="1C5C0BC0"/>
    <w:rsid w:val="1C605F4B"/>
    <w:rsid w:val="1C624858"/>
    <w:rsid w:val="1C656C80"/>
    <w:rsid w:val="1C686BB1"/>
    <w:rsid w:val="1C6D16D2"/>
    <w:rsid w:val="1C7014AD"/>
    <w:rsid w:val="1C774423"/>
    <w:rsid w:val="1C7F14AD"/>
    <w:rsid w:val="1C8278F6"/>
    <w:rsid w:val="1C873ECC"/>
    <w:rsid w:val="1C885A79"/>
    <w:rsid w:val="1C8C79CC"/>
    <w:rsid w:val="1C95335D"/>
    <w:rsid w:val="1C963ABB"/>
    <w:rsid w:val="1C9834A6"/>
    <w:rsid w:val="1CAB199D"/>
    <w:rsid w:val="1CB154FD"/>
    <w:rsid w:val="1CC80344"/>
    <w:rsid w:val="1CCE1634"/>
    <w:rsid w:val="1CD508CC"/>
    <w:rsid w:val="1CD67C95"/>
    <w:rsid w:val="1CD7255B"/>
    <w:rsid w:val="1CD77697"/>
    <w:rsid w:val="1CE62674"/>
    <w:rsid w:val="1CE65A4B"/>
    <w:rsid w:val="1CE80EE3"/>
    <w:rsid w:val="1CF27AEE"/>
    <w:rsid w:val="1D0B2A77"/>
    <w:rsid w:val="1D125F04"/>
    <w:rsid w:val="1D126ABA"/>
    <w:rsid w:val="1D2A224C"/>
    <w:rsid w:val="1D2C72CF"/>
    <w:rsid w:val="1D2F721A"/>
    <w:rsid w:val="1D3271BA"/>
    <w:rsid w:val="1D372DB3"/>
    <w:rsid w:val="1D3D3ECD"/>
    <w:rsid w:val="1D473AFE"/>
    <w:rsid w:val="1D673941"/>
    <w:rsid w:val="1D6C28BA"/>
    <w:rsid w:val="1D7A7252"/>
    <w:rsid w:val="1D7F3A98"/>
    <w:rsid w:val="1D80128F"/>
    <w:rsid w:val="1D842D16"/>
    <w:rsid w:val="1D844F91"/>
    <w:rsid w:val="1D8A3007"/>
    <w:rsid w:val="1DA07CF5"/>
    <w:rsid w:val="1DAF2847"/>
    <w:rsid w:val="1DB54D80"/>
    <w:rsid w:val="1DBD2FEC"/>
    <w:rsid w:val="1DC869B1"/>
    <w:rsid w:val="1DCC5345"/>
    <w:rsid w:val="1DDB4505"/>
    <w:rsid w:val="1DE440C5"/>
    <w:rsid w:val="1DF717DD"/>
    <w:rsid w:val="1DF778E9"/>
    <w:rsid w:val="1DF90CB3"/>
    <w:rsid w:val="1DFB7E57"/>
    <w:rsid w:val="1E006E74"/>
    <w:rsid w:val="1E053F47"/>
    <w:rsid w:val="1E084412"/>
    <w:rsid w:val="1E0A50D0"/>
    <w:rsid w:val="1E100594"/>
    <w:rsid w:val="1E136EF9"/>
    <w:rsid w:val="1E1A510C"/>
    <w:rsid w:val="1E1C7A75"/>
    <w:rsid w:val="1E2F37BF"/>
    <w:rsid w:val="1E3675FF"/>
    <w:rsid w:val="1E384A09"/>
    <w:rsid w:val="1E3A6305"/>
    <w:rsid w:val="1E424725"/>
    <w:rsid w:val="1E48031D"/>
    <w:rsid w:val="1E4A39CB"/>
    <w:rsid w:val="1E4C0773"/>
    <w:rsid w:val="1E505A9A"/>
    <w:rsid w:val="1E604BB4"/>
    <w:rsid w:val="1E6217E9"/>
    <w:rsid w:val="1E772BAF"/>
    <w:rsid w:val="1E8B5A45"/>
    <w:rsid w:val="1E937EA5"/>
    <w:rsid w:val="1EB33214"/>
    <w:rsid w:val="1EB6528E"/>
    <w:rsid w:val="1ECD3645"/>
    <w:rsid w:val="1ECF6BE8"/>
    <w:rsid w:val="1ED30282"/>
    <w:rsid w:val="1ED33F3E"/>
    <w:rsid w:val="1ED37709"/>
    <w:rsid w:val="1EDC0470"/>
    <w:rsid w:val="1EDE3615"/>
    <w:rsid w:val="1EE63F31"/>
    <w:rsid w:val="1EE927BC"/>
    <w:rsid w:val="1EEB0191"/>
    <w:rsid w:val="1EF6415D"/>
    <w:rsid w:val="1EFD37D8"/>
    <w:rsid w:val="1EFF05E5"/>
    <w:rsid w:val="1F0A31BF"/>
    <w:rsid w:val="1F1979A9"/>
    <w:rsid w:val="1F1D6B2C"/>
    <w:rsid w:val="1F28765B"/>
    <w:rsid w:val="1F2E1DAD"/>
    <w:rsid w:val="1F2E7CC0"/>
    <w:rsid w:val="1F3456E8"/>
    <w:rsid w:val="1F3D2C73"/>
    <w:rsid w:val="1F424E6F"/>
    <w:rsid w:val="1F554F08"/>
    <w:rsid w:val="1F5F2F25"/>
    <w:rsid w:val="1F6D7F78"/>
    <w:rsid w:val="1F774087"/>
    <w:rsid w:val="1F7E3755"/>
    <w:rsid w:val="1F8B4E31"/>
    <w:rsid w:val="1F951F18"/>
    <w:rsid w:val="1FA2126D"/>
    <w:rsid w:val="1FB45EC0"/>
    <w:rsid w:val="1FC0073E"/>
    <w:rsid w:val="1FCB1525"/>
    <w:rsid w:val="1FCD05CE"/>
    <w:rsid w:val="1FCD29C3"/>
    <w:rsid w:val="1FD614C1"/>
    <w:rsid w:val="1FD76D19"/>
    <w:rsid w:val="1FDA4BE6"/>
    <w:rsid w:val="1FDD5643"/>
    <w:rsid w:val="1FE5234D"/>
    <w:rsid w:val="1FEA66B0"/>
    <w:rsid w:val="1FFC79A9"/>
    <w:rsid w:val="1FFE13A7"/>
    <w:rsid w:val="1FFEBDB5"/>
    <w:rsid w:val="200E51E5"/>
    <w:rsid w:val="20196C20"/>
    <w:rsid w:val="20217911"/>
    <w:rsid w:val="2025502B"/>
    <w:rsid w:val="20260EA0"/>
    <w:rsid w:val="202930FF"/>
    <w:rsid w:val="203F79AD"/>
    <w:rsid w:val="20432685"/>
    <w:rsid w:val="20523EA0"/>
    <w:rsid w:val="20533F99"/>
    <w:rsid w:val="20586E7B"/>
    <w:rsid w:val="205E6C13"/>
    <w:rsid w:val="20654CAF"/>
    <w:rsid w:val="207124E0"/>
    <w:rsid w:val="207453BD"/>
    <w:rsid w:val="207B0C8E"/>
    <w:rsid w:val="207E641D"/>
    <w:rsid w:val="208B0E24"/>
    <w:rsid w:val="20922C86"/>
    <w:rsid w:val="209873E2"/>
    <w:rsid w:val="209A45F2"/>
    <w:rsid w:val="20AD1279"/>
    <w:rsid w:val="20B70286"/>
    <w:rsid w:val="20B9374C"/>
    <w:rsid w:val="20D05A24"/>
    <w:rsid w:val="20D1080D"/>
    <w:rsid w:val="20E57491"/>
    <w:rsid w:val="20EB0177"/>
    <w:rsid w:val="20EE427C"/>
    <w:rsid w:val="20EF202E"/>
    <w:rsid w:val="20F01C48"/>
    <w:rsid w:val="20FF0D0D"/>
    <w:rsid w:val="21021F1E"/>
    <w:rsid w:val="21075174"/>
    <w:rsid w:val="210E54FB"/>
    <w:rsid w:val="211C11DE"/>
    <w:rsid w:val="212433E8"/>
    <w:rsid w:val="21350E3B"/>
    <w:rsid w:val="21480328"/>
    <w:rsid w:val="214A188F"/>
    <w:rsid w:val="214F792D"/>
    <w:rsid w:val="21554461"/>
    <w:rsid w:val="215A3A7C"/>
    <w:rsid w:val="21630388"/>
    <w:rsid w:val="21676C96"/>
    <w:rsid w:val="216D2039"/>
    <w:rsid w:val="21753BAA"/>
    <w:rsid w:val="2188674F"/>
    <w:rsid w:val="218C63FA"/>
    <w:rsid w:val="218F3D5B"/>
    <w:rsid w:val="21947525"/>
    <w:rsid w:val="21963873"/>
    <w:rsid w:val="219E3351"/>
    <w:rsid w:val="21A03CAF"/>
    <w:rsid w:val="21BC2E88"/>
    <w:rsid w:val="21BD77FF"/>
    <w:rsid w:val="21C04E08"/>
    <w:rsid w:val="21C16D31"/>
    <w:rsid w:val="21C61B5D"/>
    <w:rsid w:val="21C62A4F"/>
    <w:rsid w:val="21C90ED2"/>
    <w:rsid w:val="21CA2BF9"/>
    <w:rsid w:val="21D21D5F"/>
    <w:rsid w:val="21DB2E51"/>
    <w:rsid w:val="21EC6730"/>
    <w:rsid w:val="21EF279D"/>
    <w:rsid w:val="21F90102"/>
    <w:rsid w:val="220165F5"/>
    <w:rsid w:val="2204167B"/>
    <w:rsid w:val="220B3E08"/>
    <w:rsid w:val="221505CC"/>
    <w:rsid w:val="22205B21"/>
    <w:rsid w:val="22295FB6"/>
    <w:rsid w:val="223C2C22"/>
    <w:rsid w:val="223E7789"/>
    <w:rsid w:val="224266AD"/>
    <w:rsid w:val="22445225"/>
    <w:rsid w:val="22513AE0"/>
    <w:rsid w:val="225F1AE8"/>
    <w:rsid w:val="225F4414"/>
    <w:rsid w:val="22691667"/>
    <w:rsid w:val="2273122A"/>
    <w:rsid w:val="227714B0"/>
    <w:rsid w:val="22895A1F"/>
    <w:rsid w:val="22953297"/>
    <w:rsid w:val="22980877"/>
    <w:rsid w:val="229E2CBA"/>
    <w:rsid w:val="22A519CE"/>
    <w:rsid w:val="22A87870"/>
    <w:rsid w:val="22AD0A6F"/>
    <w:rsid w:val="22B07CC1"/>
    <w:rsid w:val="22B626A7"/>
    <w:rsid w:val="22C33C61"/>
    <w:rsid w:val="22C4567D"/>
    <w:rsid w:val="22CB336D"/>
    <w:rsid w:val="22D34303"/>
    <w:rsid w:val="22D64DAA"/>
    <w:rsid w:val="22DC0895"/>
    <w:rsid w:val="22E404B3"/>
    <w:rsid w:val="22EA28A0"/>
    <w:rsid w:val="22F12C08"/>
    <w:rsid w:val="230A20C8"/>
    <w:rsid w:val="230D079F"/>
    <w:rsid w:val="230F2E9E"/>
    <w:rsid w:val="23160233"/>
    <w:rsid w:val="231D5A89"/>
    <w:rsid w:val="232E11F7"/>
    <w:rsid w:val="23317590"/>
    <w:rsid w:val="23335236"/>
    <w:rsid w:val="233465AA"/>
    <w:rsid w:val="233E7DD4"/>
    <w:rsid w:val="233F132B"/>
    <w:rsid w:val="23445F44"/>
    <w:rsid w:val="234B7D84"/>
    <w:rsid w:val="234C2A52"/>
    <w:rsid w:val="236513F4"/>
    <w:rsid w:val="236863EE"/>
    <w:rsid w:val="236C0739"/>
    <w:rsid w:val="23747F6E"/>
    <w:rsid w:val="23797B81"/>
    <w:rsid w:val="237B7321"/>
    <w:rsid w:val="238504B9"/>
    <w:rsid w:val="238755F1"/>
    <w:rsid w:val="23954612"/>
    <w:rsid w:val="23981DA2"/>
    <w:rsid w:val="23A3313B"/>
    <w:rsid w:val="23A50219"/>
    <w:rsid w:val="23B111AE"/>
    <w:rsid w:val="23B3496C"/>
    <w:rsid w:val="23C87B34"/>
    <w:rsid w:val="23CA4A2A"/>
    <w:rsid w:val="23D20E6E"/>
    <w:rsid w:val="23F407E9"/>
    <w:rsid w:val="23FD0595"/>
    <w:rsid w:val="2405097E"/>
    <w:rsid w:val="240A5B4F"/>
    <w:rsid w:val="240D22F9"/>
    <w:rsid w:val="24136223"/>
    <w:rsid w:val="241F75B1"/>
    <w:rsid w:val="243754C1"/>
    <w:rsid w:val="24402877"/>
    <w:rsid w:val="24420F81"/>
    <w:rsid w:val="24477489"/>
    <w:rsid w:val="245B2787"/>
    <w:rsid w:val="247B7FC0"/>
    <w:rsid w:val="24874A37"/>
    <w:rsid w:val="248F1F9C"/>
    <w:rsid w:val="24900FD0"/>
    <w:rsid w:val="24932226"/>
    <w:rsid w:val="24944BF2"/>
    <w:rsid w:val="249568EF"/>
    <w:rsid w:val="24975143"/>
    <w:rsid w:val="24AE751A"/>
    <w:rsid w:val="24B2639D"/>
    <w:rsid w:val="24B73B90"/>
    <w:rsid w:val="24C53D6B"/>
    <w:rsid w:val="24DC4B84"/>
    <w:rsid w:val="24E02C4D"/>
    <w:rsid w:val="24EC6354"/>
    <w:rsid w:val="24F03011"/>
    <w:rsid w:val="24FA22E3"/>
    <w:rsid w:val="24FB359B"/>
    <w:rsid w:val="24FE06F9"/>
    <w:rsid w:val="251D5773"/>
    <w:rsid w:val="25211592"/>
    <w:rsid w:val="2524259D"/>
    <w:rsid w:val="252457FC"/>
    <w:rsid w:val="25275892"/>
    <w:rsid w:val="253361BE"/>
    <w:rsid w:val="254D4393"/>
    <w:rsid w:val="25512985"/>
    <w:rsid w:val="255131FD"/>
    <w:rsid w:val="255638BC"/>
    <w:rsid w:val="25580E03"/>
    <w:rsid w:val="255A02EB"/>
    <w:rsid w:val="255C4A68"/>
    <w:rsid w:val="255E371E"/>
    <w:rsid w:val="25761563"/>
    <w:rsid w:val="257C0D7C"/>
    <w:rsid w:val="257E3546"/>
    <w:rsid w:val="25820650"/>
    <w:rsid w:val="25881A54"/>
    <w:rsid w:val="25884E99"/>
    <w:rsid w:val="258952CB"/>
    <w:rsid w:val="259058CD"/>
    <w:rsid w:val="25954331"/>
    <w:rsid w:val="259A3046"/>
    <w:rsid w:val="259F0BEA"/>
    <w:rsid w:val="25A17230"/>
    <w:rsid w:val="25A66F90"/>
    <w:rsid w:val="25A92D7D"/>
    <w:rsid w:val="25B01E42"/>
    <w:rsid w:val="25C00A8B"/>
    <w:rsid w:val="25D03392"/>
    <w:rsid w:val="25F13EF7"/>
    <w:rsid w:val="260045B9"/>
    <w:rsid w:val="26020022"/>
    <w:rsid w:val="2605223A"/>
    <w:rsid w:val="261067F5"/>
    <w:rsid w:val="2613724F"/>
    <w:rsid w:val="261405C6"/>
    <w:rsid w:val="26395915"/>
    <w:rsid w:val="263B4AE3"/>
    <w:rsid w:val="263B69B3"/>
    <w:rsid w:val="263F630C"/>
    <w:rsid w:val="263F731C"/>
    <w:rsid w:val="264411A1"/>
    <w:rsid w:val="264427B4"/>
    <w:rsid w:val="264504ED"/>
    <w:rsid w:val="264F73DD"/>
    <w:rsid w:val="265424C6"/>
    <w:rsid w:val="26626EFD"/>
    <w:rsid w:val="26782361"/>
    <w:rsid w:val="26830ACC"/>
    <w:rsid w:val="26837563"/>
    <w:rsid w:val="268B5AAF"/>
    <w:rsid w:val="268D34F4"/>
    <w:rsid w:val="26994CE2"/>
    <w:rsid w:val="26A25161"/>
    <w:rsid w:val="26A41871"/>
    <w:rsid w:val="26A6117D"/>
    <w:rsid w:val="26AB1BE4"/>
    <w:rsid w:val="26BF007C"/>
    <w:rsid w:val="26C415BB"/>
    <w:rsid w:val="26CB2FB7"/>
    <w:rsid w:val="26D02B67"/>
    <w:rsid w:val="26D93D94"/>
    <w:rsid w:val="26E80D9F"/>
    <w:rsid w:val="26F97ED2"/>
    <w:rsid w:val="26FB14EB"/>
    <w:rsid w:val="26FC26C2"/>
    <w:rsid w:val="2703367E"/>
    <w:rsid w:val="270B20F9"/>
    <w:rsid w:val="271244C7"/>
    <w:rsid w:val="27153A2E"/>
    <w:rsid w:val="27185B43"/>
    <w:rsid w:val="27185E8C"/>
    <w:rsid w:val="2724425F"/>
    <w:rsid w:val="272813EC"/>
    <w:rsid w:val="2729126D"/>
    <w:rsid w:val="2729288F"/>
    <w:rsid w:val="27382D65"/>
    <w:rsid w:val="273C54A1"/>
    <w:rsid w:val="27496416"/>
    <w:rsid w:val="274A66C5"/>
    <w:rsid w:val="274B3225"/>
    <w:rsid w:val="27667183"/>
    <w:rsid w:val="27685071"/>
    <w:rsid w:val="27700126"/>
    <w:rsid w:val="27745660"/>
    <w:rsid w:val="278675C7"/>
    <w:rsid w:val="278834BD"/>
    <w:rsid w:val="278E436B"/>
    <w:rsid w:val="27932145"/>
    <w:rsid w:val="27957E02"/>
    <w:rsid w:val="27987D17"/>
    <w:rsid w:val="27A333C0"/>
    <w:rsid w:val="27A917B7"/>
    <w:rsid w:val="27B11B78"/>
    <w:rsid w:val="27C86782"/>
    <w:rsid w:val="27D6405F"/>
    <w:rsid w:val="27E47BC1"/>
    <w:rsid w:val="27E96E87"/>
    <w:rsid w:val="27F20861"/>
    <w:rsid w:val="27F72243"/>
    <w:rsid w:val="280A401A"/>
    <w:rsid w:val="280F1B33"/>
    <w:rsid w:val="281903F4"/>
    <w:rsid w:val="282123DE"/>
    <w:rsid w:val="28241F1A"/>
    <w:rsid w:val="28253AD5"/>
    <w:rsid w:val="282A20A9"/>
    <w:rsid w:val="28387C4B"/>
    <w:rsid w:val="284874B1"/>
    <w:rsid w:val="284C71C8"/>
    <w:rsid w:val="284D37D0"/>
    <w:rsid w:val="286242E2"/>
    <w:rsid w:val="28645EC8"/>
    <w:rsid w:val="287B16ED"/>
    <w:rsid w:val="28876ABB"/>
    <w:rsid w:val="288A3A5F"/>
    <w:rsid w:val="288C46BF"/>
    <w:rsid w:val="28916ED9"/>
    <w:rsid w:val="28953231"/>
    <w:rsid w:val="28A600E3"/>
    <w:rsid w:val="28AE2829"/>
    <w:rsid w:val="28AF255C"/>
    <w:rsid w:val="28B0147B"/>
    <w:rsid w:val="28BA1CDB"/>
    <w:rsid w:val="28C36DC9"/>
    <w:rsid w:val="28C92B46"/>
    <w:rsid w:val="28D0465E"/>
    <w:rsid w:val="28D051C8"/>
    <w:rsid w:val="28D2652A"/>
    <w:rsid w:val="28D970DB"/>
    <w:rsid w:val="28E2129D"/>
    <w:rsid w:val="28E5020F"/>
    <w:rsid w:val="28E56FD8"/>
    <w:rsid w:val="28E77ED9"/>
    <w:rsid w:val="28EA3AC1"/>
    <w:rsid w:val="28F713E3"/>
    <w:rsid w:val="28FF67FE"/>
    <w:rsid w:val="290168B6"/>
    <w:rsid w:val="2914187C"/>
    <w:rsid w:val="29187445"/>
    <w:rsid w:val="291918F0"/>
    <w:rsid w:val="292469C4"/>
    <w:rsid w:val="29282ACC"/>
    <w:rsid w:val="292C312F"/>
    <w:rsid w:val="29320AB5"/>
    <w:rsid w:val="29320C84"/>
    <w:rsid w:val="29395E2F"/>
    <w:rsid w:val="2943198B"/>
    <w:rsid w:val="29500873"/>
    <w:rsid w:val="29507CEF"/>
    <w:rsid w:val="29524AA5"/>
    <w:rsid w:val="295B47A4"/>
    <w:rsid w:val="295C585B"/>
    <w:rsid w:val="295E5A56"/>
    <w:rsid w:val="295F070A"/>
    <w:rsid w:val="295F3429"/>
    <w:rsid w:val="296023AD"/>
    <w:rsid w:val="29615AC8"/>
    <w:rsid w:val="296634D9"/>
    <w:rsid w:val="296B399C"/>
    <w:rsid w:val="29813841"/>
    <w:rsid w:val="298170EA"/>
    <w:rsid w:val="29823E6B"/>
    <w:rsid w:val="29885F6C"/>
    <w:rsid w:val="29950E4C"/>
    <w:rsid w:val="299C32DB"/>
    <w:rsid w:val="29A03294"/>
    <w:rsid w:val="29A16BBC"/>
    <w:rsid w:val="29B04412"/>
    <w:rsid w:val="29B27740"/>
    <w:rsid w:val="29BE1941"/>
    <w:rsid w:val="29C407CE"/>
    <w:rsid w:val="29C45834"/>
    <w:rsid w:val="29CB6751"/>
    <w:rsid w:val="29CC3EAC"/>
    <w:rsid w:val="29CE4AAD"/>
    <w:rsid w:val="29D00018"/>
    <w:rsid w:val="29D52350"/>
    <w:rsid w:val="29DB0BEE"/>
    <w:rsid w:val="29DD4B6C"/>
    <w:rsid w:val="29E636A0"/>
    <w:rsid w:val="29E65814"/>
    <w:rsid w:val="29E93D14"/>
    <w:rsid w:val="29FB053C"/>
    <w:rsid w:val="2A005722"/>
    <w:rsid w:val="2A031C17"/>
    <w:rsid w:val="2A156578"/>
    <w:rsid w:val="2A1753AC"/>
    <w:rsid w:val="2A1941C7"/>
    <w:rsid w:val="2A290CA1"/>
    <w:rsid w:val="2A2D3FBB"/>
    <w:rsid w:val="2A3346E6"/>
    <w:rsid w:val="2A4C53E2"/>
    <w:rsid w:val="2A730CFF"/>
    <w:rsid w:val="2A7536F4"/>
    <w:rsid w:val="2A793857"/>
    <w:rsid w:val="2A7B70AF"/>
    <w:rsid w:val="2A885062"/>
    <w:rsid w:val="2AB71BC8"/>
    <w:rsid w:val="2AC96F91"/>
    <w:rsid w:val="2AD83F05"/>
    <w:rsid w:val="2AD84444"/>
    <w:rsid w:val="2AD90849"/>
    <w:rsid w:val="2ADD1DDA"/>
    <w:rsid w:val="2AF07BA0"/>
    <w:rsid w:val="2AF2061F"/>
    <w:rsid w:val="2AFB6DE5"/>
    <w:rsid w:val="2AFD23B0"/>
    <w:rsid w:val="2B0B657B"/>
    <w:rsid w:val="2B0F5FD7"/>
    <w:rsid w:val="2B1E2FC7"/>
    <w:rsid w:val="2B2A4503"/>
    <w:rsid w:val="2B2B5E86"/>
    <w:rsid w:val="2B336C71"/>
    <w:rsid w:val="2B3E744E"/>
    <w:rsid w:val="2B3F5085"/>
    <w:rsid w:val="2B411CB9"/>
    <w:rsid w:val="2B4264DF"/>
    <w:rsid w:val="2B430CA7"/>
    <w:rsid w:val="2B445D24"/>
    <w:rsid w:val="2B6A407B"/>
    <w:rsid w:val="2B6E5CA9"/>
    <w:rsid w:val="2B727C1E"/>
    <w:rsid w:val="2B771324"/>
    <w:rsid w:val="2B832552"/>
    <w:rsid w:val="2B893A88"/>
    <w:rsid w:val="2B8A76CB"/>
    <w:rsid w:val="2B97722D"/>
    <w:rsid w:val="2BA322EA"/>
    <w:rsid w:val="2BAB61CE"/>
    <w:rsid w:val="2BB72388"/>
    <w:rsid w:val="2BB83BE6"/>
    <w:rsid w:val="2BB97AB4"/>
    <w:rsid w:val="2BBB0748"/>
    <w:rsid w:val="2BD40A45"/>
    <w:rsid w:val="2BE30B01"/>
    <w:rsid w:val="2BE34B53"/>
    <w:rsid w:val="2BE7153F"/>
    <w:rsid w:val="2BEA3BAB"/>
    <w:rsid w:val="2BF07091"/>
    <w:rsid w:val="2BFE1E7F"/>
    <w:rsid w:val="2C024E9A"/>
    <w:rsid w:val="2C042A71"/>
    <w:rsid w:val="2C0A7301"/>
    <w:rsid w:val="2C151A7A"/>
    <w:rsid w:val="2C18476D"/>
    <w:rsid w:val="2C1F39E7"/>
    <w:rsid w:val="2C206CB3"/>
    <w:rsid w:val="2C261E5E"/>
    <w:rsid w:val="2C284723"/>
    <w:rsid w:val="2C395830"/>
    <w:rsid w:val="2C3A23A5"/>
    <w:rsid w:val="2C5406A1"/>
    <w:rsid w:val="2C5D3228"/>
    <w:rsid w:val="2C63430F"/>
    <w:rsid w:val="2C667584"/>
    <w:rsid w:val="2C7A0746"/>
    <w:rsid w:val="2C7A67AD"/>
    <w:rsid w:val="2C853BC4"/>
    <w:rsid w:val="2C8562B4"/>
    <w:rsid w:val="2C86566D"/>
    <w:rsid w:val="2C872FF5"/>
    <w:rsid w:val="2C8D02A2"/>
    <w:rsid w:val="2C8F0987"/>
    <w:rsid w:val="2C936C21"/>
    <w:rsid w:val="2CA961FD"/>
    <w:rsid w:val="2CAB491C"/>
    <w:rsid w:val="2CB87E4B"/>
    <w:rsid w:val="2CBE5911"/>
    <w:rsid w:val="2CBF153C"/>
    <w:rsid w:val="2CD15BDA"/>
    <w:rsid w:val="2CD97B2F"/>
    <w:rsid w:val="2CE31FD3"/>
    <w:rsid w:val="2CE8700D"/>
    <w:rsid w:val="2CE90059"/>
    <w:rsid w:val="2CED4FDC"/>
    <w:rsid w:val="2CF13181"/>
    <w:rsid w:val="2D0D22EC"/>
    <w:rsid w:val="2D142207"/>
    <w:rsid w:val="2D25355E"/>
    <w:rsid w:val="2D2961B9"/>
    <w:rsid w:val="2D2D1CE3"/>
    <w:rsid w:val="2D325062"/>
    <w:rsid w:val="2D34014B"/>
    <w:rsid w:val="2D3602A2"/>
    <w:rsid w:val="2D3654BA"/>
    <w:rsid w:val="2D374AA2"/>
    <w:rsid w:val="2D446A39"/>
    <w:rsid w:val="2D5730BE"/>
    <w:rsid w:val="2D574249"/>
    <w:rsid w:val="2D5742DB"/>
    <w:rsid w:val="2D582E37"/>
    <w:rsid w:val="2D590732"/>
    <w:rsid w:val="2D597000"/>
    <w:rsid w:val="2D6A689E"/>
    <w:rsid w:val="2D6F5EEE"/>
    <w:rsid w:val="2D706E2D"/>
    <w:rsid w:val="2D7730B0"/>
    <w:rsid w:val="2D7A5462"/>
    <w:rsid w:val="2D7B5F02"/>
    <w:rsid w:val="2D8108D9"/>
    <w:rsid w:val="2D855C27"/>
    <w:rsid w:val="2D8E04DB"/>
    <w:rsid w:val="2DAA067E"/>
    <w:rsid w:val="2DAE21BF"/>
    <w:rsid w:val="2DAE3603"/>
    <w:rsid w:val="2DAE46D4"/>
    <w:rsid w:val="2DAF26BA"/>
    <w:rsid w:val="2DB365A5"/>
    <w:rsid w:val="2DB74ED0"/>
    <w:rsid w:val="2DC56153"/>
    <w:rsid w:val="2DD05661"/>
    <w:rsid w:val="2DD306E6"/>
    <w:rsid w:val="2DDC7E46"/>
    <w:rsid w:val="2DDE4950"/>
    <w:rsid w:val="2DED03AC"/>
    <w:rsid w:val="2DEE7BA8"/>
    <w:rsid w:val="2DF04E00"/>
    <w:rsid w:val="2DF67332"/>
    <w:rsid w:val="2DF93FA0"/>
    <w:rsid w:val="2DFA1847"/>
    <w:rsid w:val="2DFC77F8"/>
    <w:rsid w:val="2E034A0D"/>
    <w:rsid w:val="2E0547DE"/>
    <w:rsid w:val="2E06552D"/>
    <w:rsid w:val="2E0B2946"/>
    <w:rsid w:val="2E156995"/>
    <w:rsid w:val="2E156DA6"/>
    <w:rsid w:val="2E290E7D"/>
    <w:rsid w:val="2E316FD3"/>
    <w:rsid w:val="2E321A39"/>
    <w:rsid w:val="2E3F60BF"/>
    <w:rsid w:val="2E44607C"/>
    <w:rsid w:val="2E533D6A"/>
    <w:rsid w:val="2E541F25"/>
    <w:rsid w:val="2E5C2BCE"/>
    <w:rsid w:val="2E671915"/>
    <w:rsid w:val="2E6B189C"/>
    <w:rsid w:val="2E7C0225"/>
    <w:rsid w:val="2E7F0929"/>
    <w:rsid w:val="2E8620D7"/>
    <w:rsid w:val="2E884AED"/>
    <w:rsid w:val="2E895644"/>
    <w:rsid w:val="2E8E5F78"/>
    <w:rsid w:val="2E9046C6"/>
    <w:rsid w:val="2EA056E6"/>
    <w:rsid w:val="2EA42AC9"/>
    <w:rsid w:val="2EA8189F"/>
    <w:rsid w:val="2EA83CF9"/>
    <w:rsid w:val="2EAD27C9"/>
    <w:rsid w:val="2EAD3D91"/>
    <w:rsid w:val="2EB145E0"/>
    <w:rsid w:val="2EB60E6A"/>
    <w:rsid w:val="2EBD6E65"/>
    <w:rsid w:val="2EC03F3F"/>
    <w:rsid w:val="2EC05C71"/>
    <w:rsid w:val="2EC34D30"/>
    <w:rsid w:val="2ECE06B5"/>
    <w:rsid w:val="2ED27A59"/>
    <w:rsid w:val="2EE56042"/>
    <w:rsid w:val="2EEE6082"/>
    <w:rsid w:val="2EF85C8E"/>
    <w:rsid w:val="2EF935EC"/>
    <w:rsid w:val="2EFC2BD3"/>
    <w:rsid w:val="2F021711"/>
    <w:rsid w:val="2F03193B"/>
    <w:rsid w:val="2F087632"/>
    <w:rsid w:val="2F0A618E"/>
    <w:rsid w:val="2F0D22BF"/>
    <w:rsid w:val="2F0D5918"/>
    <w:rsid w:val="2F111194"/>
    <w:rsid w:val="2F19516F"/>
    <w:rsid w:val="2F1D43B2"/>
    <w:rsid w:val="2F1F4A24"/>
    <w:rsid w:val="2F250C5B"/>
    <w:rsid w:val="2F2E041F"/>
    <w:rsid w:val="2F3A1DC8"/>
    <w:rsid w:val="2F496ECE"/>
    <w:rsid w:val="2F52516C"/>
    <w:rsid w:val="2F55013B"/>
    <w:rsid w:val="2F5741F8"/>
    <w:rsid w:val="2F5C1D7B"/>
    <w:rsid w:val="2F5D1658"/>
    <w:rsid w:val="2F5E55A1"/>
    <w:rsid w:val="2F5E677D"/>
    <w:rsid w:val="2F612F53"/>
    <w:rsid w:val="2F6D63D2"/>
    <w:rsid w:val="2F760E64"/>
    <w:rsid w:val="2F78064F"/>
    <w:rsid w:val="2F7936BC"/>
    <w:rsid w:val="2F881C8E"/>
    <w:rsid w:val="2F8B0DF9"/>
    <w:rsid w:val="2F8E4292"/>
    <w:rsid w:val="2F967CB5"/>
    <w:rsid w:val="2F996DE2"/>
    <w:rsid w:val="2FA00CFF"/>
    <w:rsid w:val="2FA42969"/>
    <w:rsid w:val="2FAA15C6"/>
    <w:rsid w:val="2FAB7EAB"/>
    <w:rsid w:val="2FAC5ADA"/>
    <w:rsid w:val="2FAC6FFA"/>
    <w:rsid w:val="2FAD23E1"/>
    <w:rsid w:val="2FB3490E"/>
    <w:rsid w:val="2FB35F05"/>
    <w:rsid w:val="2FB90B1B"/>
    <w:rsid w:val="2FB93C46"/>
    <w:rsid w:val="2FBF52CA"/>
    <w:rsid w:val="2FC4515F"/>
    <w:rsid w:val="2FC550FA"/>
    <w:rsid w:val="2FCA1A9E"/>
    <w:rsid w:val="2FCB1918"/>
    <w:rsid w:val="2FD22DC8"/>
    <w:rsid w:val="2FD6273D"/>
    <w:rsid w:val="2FF10380"/>
    <w:rsid w:val="2FF96C8B"/>
    <w:rsid w:val="2FFC2685"/>
    <w:rsid w:val="30062417"/>
    <w:rsid w:val="30193EA8"/>
    <w:rsid w:val="3028193D"/>
    <w:rsid w:val="30362BB7"/>
    <w:rsid w:val="303715B4"/>
    <w:rsid w:val="30380231"/>
    <w:rsid w:val="303B4DD4"/>
    <w:rsid w:val="303C17F6"/>
    <w:rsid w:val="303D7678"/>
    <w:rsid w:val="304E5E3D"/>
    <w:rsid w:val="30500897"/>
    <w:rsid w:val="30524299"/>
    <w:rsid w:val="30526F8E"/>
    <w:rsid w:val="30683EDB"/>
    <w:rsid w:val="306B3E27"/>
    <w:rsid w:val="30840F9B"/>
    <w:rsid w:val="308E45AD"/>
    <w:rsid w:val="309157F5"/>
    <w:rsid w:val="309A7884"/>
    <w:rsid w:val="309F19D8"/>
    <w:rsid w:val="30A24F6F"/>
    <w:rsid w:val="30A302CC"/>
    <w:rsid w:val="30A634E3"/>
    <w:rsid w:val="30A82F7D"/>
    <w:rsid w:val="30A83A5A"/>
    <w:rsid w:val="30AD3A3A"/>
    <w:rsid w:val="30AF7230"/>
    <w:rsid w:val="30AF7E53"/>
    <w:rsid w:val="30C01C1F"/>
    <w:rsid w:val="30CD5D6E"/>
    <w:rsid w:val="30D75235"/>
    <w:rsid w:val="30E154D9"/>
    <w:rsid w:val="30E95ED0"/>
    <w:rsid w:val="3105598B"/>
    <w:rsid w:val="31074780"/>
    <w:rsid w:val="310A7C35"/>
    <w:rsid w:val="310C213C"/>
    <w:rsid w:val="31182717"/>
    <w:rsid w:val="311A4769"/>
    <w:rsid w:val="311D5770"/>
    <w:rsid w:val="31241B9A"/>
    <w:rsid w:val="31245DE7"/>
    <w:rsid w:val="3128504A"/>
    <w:rsid w:val="312856A5"/>
    <w:rsid w:val="31296F68"/>
    <w:rsid w:val="3129705B"/>
    <w:rsid w:val="312F62F1"/>
    <w:rsid w:val="31301E65"/>
    <w:rsid w:val="31344BA7"/>
    <w:rsid w:val="314D6ABA"/>
    <w:rsid w:val="3152524C"/>
    <w:rsid w:val="315F1265"/>
    <w:rsid w:val="316778C7"/>
    <w:rsid w:val="316C6408"/>
    <w:rsid w:val="316D7DEE"/>
    <w:rsid w:val="3171035E"/>
    <w:rsid w:val="31763FFA"/>
    <w:rsid w:val="31794D98"/>
    <w:rsid w:val="3185549E"/>
    <w:rsid w:val="318871AF"/>
    <w:rsid w:val="318E5C79"/>
    <w:rsid w:val="31972B97"/>
    <w:rsid w:val="31A85211"/>
    <w:rsid w:val="31AB0B01"/>
    <w:rsid w:val="31AB3D2D"/>
    <w:rsid w:val="31AC7C11"/>
    <w:rsid w:val="31B14740"/>
    <w:rsid w:val="31B21FB1"/>
    <w:rsid w:val="31B50730"/>
    <w:rsid w:val="31B639EB"/>
    <w:rsid w:val="31C8463D"/>
    <w:rsid w:val="31CB1A34"/>
    <w:rsid w:val="31CD1286"/>
    <w:rsid w:val="31CF2D1C"/>
    <w:rsid w:val="31D0338B"/>
    <w:rsid w:val="31DD73AF"/>
    <w:rsid w:val="31E8143A"/>
    <w:rsid w:val="3201699D"/>
    <w:rsid w:val="321564EB"/>
    <w:rsid w:val="32213B1E"/>
    <w:rsid w:val="32274CF1"/>
    <w:rsid w:val="32471623"/>
    <w:rsid w:val="324B1335"/>
    <w:rsid w:val="324E20C1"/>
    <w:rsid w:val="326E46B9"/>
    <w:rsid w:val="32725C2D"/>
    <w:rsid w:val="3294134F"/>
    <w:rsid w:val="32977D98"/>
    <w:rsid w:val="32983492"/>
    <w:rsid w:val="32A10E76"/>
    <w:rsid w:val="32A41828"/>
    <w:rsid w:val="32AB57BE"/>
    <w:rsid w:val="32AC4005"/>
    <w:rsid w:val="32AF2C08"/>
    <w:rsid w:val="32AF2C60"/>
    <w:rsid w:val="32C248B1"/>
    <w:rsid w:val="32CB70AF"/>
    <w:rsid w:val="32CF2532"/>
    <w:rsid w:val="32D766E8"/>
    <w:rsid w:val="32DD38B8"/>
    <w:rsid w:val="32DE2316"/>
    <w:rsid w:val="32F00689"/>
    <w:rsid w:val="32FA3ED3"/>
    <w:rsid w:val="33051D1F"/>
    <w:rsid w:val="33077C67"/>
    <w:rsid w:val="33080DEE"/>
    <w:rsid w:val="33097170"/>
    <w:rsid w:val="330C0138"/>
    <w:rsid w:val="330D340D"/>
    <w:rsid w:val="330E25F7"/>
    <w:rsid w:val="3313561E"/>
    <w:rsid w:val="331C7ACF"/>
    <w:rsid w:val="33302462"/>
    <w:rsid w:val="33415937"/>
    <w:rsid w:val="33544026"/>
    <w:rsid w:val="3355330B"/>
    <w:rsid w:val="335A22E8"/>
    <w:rsid w:val="335F51FC"/>
    <w:rsid w:val="337E7297"/>
    <w:rsid w:val="33807538"/>
    <w:rsid w:val="338E5AAF"/>
    <w:rsid w:val="33A96141"/>
    <w:rsid w:val="33AA6E5B"/>
    <w:rsid w:val="33B615B0"/>
    <w:rsid w:val="33B944E3"/>
    <w:rsid w:val="33BD7464"/>
    <w:rsid w:val="33C206EC"/>
    <w:rsid w:val="33C525FF"/>
    <w:rsid w:val="33C82A55"/>
    <w:rsid w:val="33CD1265"/>
    <w:rsid w:val="33CD1BA4"/>
    <w:rsid w:val="33D210BA"/>
    <w:rsid w:val="33D5704D"/>
    <w:rsid w:val="33D672DA"/>
    <w:rsid w:val="33DA3C49"/>
    <w:rsid w:val="33EB3C04"/>
    <w:rsid w:val="33F0228B"/>
    <w:rsid w:val="33FB34AD"/>
    <w:rsid w:val="34077F95"/>
    <w:rsid w:val="341F4FF1"/>
    <w:rsid w:val="34212CC6"/>
    <w:rsid w:val="34232C35"/>
    <w:rsid w:val="3424462B"/>
    <w:rsid w:val="34257CAA"/>
    <w:rsid w:val="34296B2C"/>
    <w:rsid w:val="342E0D74"/>
    <w:rsid w:val="343140C1"/>
    <w:rsid w:val="34341BCD"/>
    <w:rsid w:val="343820DA"/>
    <w:rsid w:val="34473D35"/>
    <w:rsid w:val="344741A4"/>
    <w:rsid w:val="345C1190"/>
    <w:rsid w:val="3465167D"/>
    <w:rsid w:val="346574E3"/>
    <w:rsid w:val="34680CF3"/>
    <w:rsid w:val="346F3D51"/>
    <w:rsid w:val="347279B3"/>
    <w:rsid w:val="34852422"/>
    <w:rsid w:val="34861C0E"/>
    <w:rsid w:val="348849F1"/>
    <w:rsid w:val="34966BCA"/>
    <w:rsid w:val="34972A37"/>
    <w:rsid w:val="34972D28"/>
    <w:rsid w:val="34993372"/>
    <w:rsid w:val="349F3274"/>
    <w:rsid w:val="34A6640D"/>
    <w:rsid w:val="34B06789"/>
    <w:rsid w:val="34B6469B"/>
    <w:rsid w:val="34BD1E6B"/>
    <w:rsid w:val="34C17D61"/>
    <w:rsid w:val="34C4523E"/>
    <w:rsid w:val="34D748D3"/>
    <w:rsid w:val="34E92B2A"/>
    <w:rsid w:val="34EB0766"/>
    <w:rsid w:val="34EB27C1"/>
    <w:rsid w:val="34F0006E"/>
    <w:rsid w:val="34F2044E"/>
    <w:rsid w:val="34F31350"/>
    <w:rsid w:val="35041247"/>
    <w:rsid w:val="350834A5"/>
    <w:rsid w:val="3508671B"/>
    <w:rsid w:val="350A702D"/>
    <w:rsid w:val="350B225C"/>
    <w:rsid w:val="350B5572"/>
    <w:rsid w:val="3517024A"/>
    <w:rsid w:val="352B7959"/>
    <w:rsid w:val="352E1B92"/>
    <w:rsid w:val="35352402"/>
    <w:rsid w:val="35447D37"/>
    <w:rsid w:val="354A24CE"/>
    <w:rsid w:val="354D72A3"/>
    <w:rsid w:val="354F5A95"/>
    <w:rsid w:val="35617223"/>
    <w:rsid w:val="356921A7"/>
    <w:rsid w:val="35784B7C"/>
    <w:rsid w:val="358C3C7D"/>
    <w:rsid w:val="35924B11"/>
    <w:rsid w:val="3597602A"/>
    <w:rsid w:val="35993923"/>
    <w:rsid w:val="359A1939"/>
    <w:rsid w:val="359A72D2"/>
    <w:rsid w:val="359C29EF"/>
    <w:rsid w:val="35A128F9"/>
    <w:rsid w:val="35A135E2"/>
    <w:rsid w:val="35A52195"/>
    <w:rsid w:val="35A825D9"/>
    <w:rsid w:val="35AB4CA6"/>
    <w:rsid w:val="35B86A98"/>
    <w:rsid w:val="35CA368E"/>
    <w:rsid w:val="35D76575"/>
    <w:rsid w:val="35EA1C7A"/>
    <w:rsid w:val="35EC4037"/>
    <w:rsid w:val="35F16853"/>
    <w:rsid w:val="35FA7FAE"/>
    <w:rsid w:val="35FD04CC"/>
    <w:rsid w:val="35FE3BB9"/>
    <w:rsid w:val="360772E1"/>
    <w:rsid w:val="36116651"/>
    <w:rsid w:val="3617340F"/>
    <w:rsid w:val="361A17EE"/>
    <w:rsid w:val="3623173E"/>
    <w:rsid w:val="36390E85"/>
    <w:rsid w:val="363E7984"/>
    <w:rsid w:val="364B6733"/>
    <w:rsid w:val="364D4192"/>
    <w:rsid w:val="364D7EA5"/>
    <w:rsid w:val="364E0FEB"/>
    <w:rsid w:val="36555A7C"/>
    <w:rsid w:val="3664137D"/>
    <w:rsid w:val="366A50B6"/>
    <w:rsid w:val="366D2039"/>
    <w:rsid w:val="36933FF8"/>
    <w:rsid w:val="36B95A69"/>
    <w:rsid w:val="36BE70C5"/>
    <w:rsid w:val="36C3610A"/>
    <w:rsid w:val="36C60DBC"/>
    <w:rsid w:val="36CA6BE4"/>
    <w:rsid w:val="36CC5B44"/>
    <w:rsid w:val="36E326C2"/>
    <w:rsid w:val="36F037A0"/>
    <w:rsid w:val="36F7134D"/>
    <w:rsid w:val="36F936D0"/>
    <w:rsid w:val="36FB6154"/>
    <w:rsid w:val="370B27D8"/>
    <w:rsid w:val="371103E1"/>
    <w:rsid w:val="37172986"/>
    <w:rsid w:val="371C1166"/>
    <w:rsid w:val="371E117D"/>
    <w:rsid w:val="372A7F8F"/>
    <w:rsid w:val="372B5620"/>
    <w:rsid w:val="372E2308"/>
    <w:rsid w:val="37301B8D"/>
    <w:rsid w:val="37311067"/>
    <w:rsid w:val="3732268D"/>
    <w:rsid w:val="373235BC"/>
    <w:rsid w:val="37351DA1"/>
    <w:rsid w:val="373632A0"/>
    <w:rsid w:val="373C051B"/>
    <w:rsid w:val="37437273"/>
    <w:rsid w:val="37453D1D"/>
    <w:rsid w:val="37485117"/>
    <w:rsid w:val="37492514"/>
    <w:rsid w:val="375E3678"/>
    <w:rsid w:val="375F22F4"/>
    <w:rsid w:val="3764135A"/>
    <w:rsid w:val="376A50EB"/>
    <w:rsid w:val="3771526A"/>
    <w:rsid w:val="37743AD4"/>
    <w:rsid w:val="377E4819"/>
    <w:rsid w:val="379A7034"/>
    <w:rsid w:val="379F3082"/>
    <w:rsid w:val="37A37523"/>
    <w:rsid w:val="37AC459C"/>
    <w:rsid w:val="37AE3DED"/>
    <w:rsid w:val="37B221FD"/>
    <w:rsid w:val="37B46D6E"/>
    <w:rsid w:val="37B651B5"/>
    <w:rsid w:val="37C16031"/>
    <w:rsid w:val="37C86F59"/>
    <w:rsid w:val="37CF56FE"/>
    <w:rsid w:val="37D45670"/>
    <w:rsid w:val="37D52A46"/>
    <w:rsid w:val="37E222BB"/>
    <w:rsid w:val="37E3492C"/>
    <w:rsid w:val="37E52713"/>
    <w:rsid w:val="37E60B4D"/>
    <w:rsid w:val="37E82590"/>
    <w:rsid w:val="37ED4012"/>
    <w:rsid w:val="37EF6CDD"/>
    <w:rsid w:val="37F068DA"/>
    <w:rsid w:val="37F52A11"/>
    <w:rsid w:val="37FE40FE"/>
    <w:rsid w:val="38010026"/>
    <w:rsid w:val="380C713E"/>
    <w:rsid w:val="380F2E53"/>
    <w:rsid w:val="38110C0E"/>
    <w:rsid w:val="381D0713"/>
    <w:rsid w:val="381F5DBC"/>
    <w:rsid w:val="38271AA6"/>
    <w:rsid w:val="382B6179"/>
    <w:rsid w:val="382F65F0"/>
    <w:rsid w:val="38375225"/>
    <w:rsid w:val="383971BA"/>
    <w:rsid w:val="383A526D"/>
    <w:rsid w:val="384C73C8"/>
    <w:rsid w:val="38536E8D"/>
    <w:rsid w:val="3869340B"/>
    <w:rsid w:val="386A1F8B"/>
    <w:rsid w:val="387072F8"/>
    <w:rsid w:val="38731552"/>
    <w:rsid w:val="387A2058"/>
    <w:rsid w:val="38811E55"/>
    <w:rsid w:val="38866E4D"/>
    <w:rsid w:val="38A17786"/>
    <w:rsid w:val="38A342BF"/>
    <w:rsid w:val="38A6302E"/>
    <w:rsid w:val="38A87350"/>
    <w:rsid w:val="38B259B5"/>
    <w:rsid w:val="38BF8C6B"/>
    <w:rsid w:val="38D20CF1"/>
    <w:rsid w:val="38D33C2D"/>
    <w:rsid w:val="38DA43EA"/>
    <w:rsid w:val="38E04359"/>
    <w:rsid w:val="38E2591C"/>
    <w:rsid w:val="38E6682E"/>
    <w:rsid w:val="38EE7551"/>
    <w:rsid w:val="38EF17C5"/>
    <w:rsid w:val="38FC55F7"/>
    <w:rsid w:val="38FD7C8D"/>
    <w:rsid w:val="39054F45"/>
    <w:rsid w:val="391111DD"/>
    <w:rsid w:val="391644EC"/>
    <w:rsid w:val="39262DF9"/>
    <w:rsid w:val="392870B4"/>
    <w:rsid w:val="392D561E"/>
    <w:rsid w:val="392F5E4C"/>
    <w:rsid w:val="393A53E4"/>
    <w:rsid w:val="393B711B"/>
    <w:rsid w:val="393B7B84"/>
    <w:rsid w:val="395C1B5F"/>
    <w:rsid w:val="39700F50"/>
    <w:rsid w:val="39773A51"/>
    <w:rsid w:val="39801678"/>
    <w:rsid w:val="398A175A"/>
    <w:rsid w:val="399979C4"/>
    <w:rsid w:val="399C33BA"/>
    <w:rsid w:val="399E5746"/>
    <w:rsid w:val="39A115E7"/>
    <w:rsid w:val="39A63F48"/>
    <w:rsid w:val="39BE5507"/>
    <w:rsid w:val="39C337C9"/>
    <w:rsid w:val="39CD5DFA"/>
    <w:rsid w:val="39D710DE"/>
    <w:rsid w:val="39D74A39"/>
    <w:rsid w:val="39DB07CE"/>
    <w:rsid w:val="39E55B9C"/>
    <w:rsid w:val="39F426A4"/>
    <w:rsid w:val="39F43040"/>
    <w:rsid w:val="39FC0FF7"/>
    <w:rsid w:val="39FD6A5D"/>
    <w:rsid w:val="39FF773F"/>
    <w:rsid w:val="3A000C58"/>
    <w:rsid w:val="3A016337"/>
    <w:rsid w:val="3A07073D"/>
    <w:rsid w:val="3A081550"/>
    <w:rsid w:val="3A0C137D"/>
    <w:rsid w:val="3A0C3A2A"/>
    <w:rsid w:val="3A192A81"/>
    <w:rsid w:val="3A1E08E7"/>
    <w:rsid w:val="3A220837"/>
    <w:rsid w:val="3A2421B1"/>
    <w:rsid w:val="3A287F26"/>
    <w:rsid w:val="3A2A1CF5"/>
    <w:rsid w:val="3A2C3D22"/>
    <w:rsid w:val="3A2C6A53"/>
    <w:rsid w:val="3A2D3EBB"/>
    <w:rsid w:val="3A305791"/>
    <w:rsid w:val="3A331C4C"/>
    <w:rsid w:val="3A334FA9"/>
    <w:rsid w:val="3A3A70D0"/>
    <w:rsid w:val="3A4145B9"/>
    <w:rsid w:val="3A44317B"/>
    <w:rsid w:val="3A487F9D"/>
    <w:rsid w:val="3A5A01E3"/>
    <w:rsid w:val="3A6501DF"/>
    <w:rsid w:val="3A66490F"/>
    <w:rsid w:val="3A677644"/>
    <w:rsid w:val="3A694EAD"/>
    <w:rsid w:val="3A6F7E85"/>
    <w:rsid w:val="3A7302A4"/>
    <w:rsid w:val="3A7B3FC9"/>
    <w:rsid w:val="3A7F07F5"/>
    <w:rsid w:val="3A8119E9"/>
    <w:rsid w:val="3A8B44E2"/>
    <w:rsid w:val="3A910DA6"/>
    <w:rsid w:val="3A92374A"/>
    <w:rsid w:val="3A937BF3"/>
    <w:rsid w:val="3A941987"/>
    <w:rsid w:val="3A9D3552"/>
    <w:rsid w:val="3A9F262F"/>
    <w:rsid w:val="3AA44C6B"/>
    <w:rsid w:val="3AA44CD0"/>
    <w:rsid w:val="3AA464F6"/>
    <w:rsid w:val="3AAC1E09"/>
    <w:rsid w:val="3ABC3994"/>
    <w:rsid w:val="3AC14491"/>
    <w:rsid w:val="3AD003FD"/>
    <w:rsid w:val="3AD716F8"/>
    <w:rsid w:val="3ADB22AA"/>
    <w:rsid w:val="3AE06774"/>
    <w:rsid w:val="3AE24287"/>
    <w:rsid w:val="3AE273EE"/>
    <w:rsid w:val="3AE97AAD"/>
    <w:rsid w:val="3AEB2B24"/>
    <w:rsid w:val="3AF01B32"/>
    <w:rsid w:val="3AF25EE1"/>
    <w:rsid w:val="3AF9521D"/>
    <w:rsid w:val="3B04008F"/>
    <w:rsid w:val="3B156FB2"/>
    <w:rsid w:val="3B18650D"/>
    <w:rsid w:val="3B215814"/>
    <w:rsid w:val="3B2B74B5"/>
    <w:rsid w:val="3B31496B"/>
    <w:rsid w:val="3B3B0538"/>
    <w:rsid w:val="3B3D21A1"/>
    <w:rsid w:val="3B3E42E2"/>
    <w:rsid w:val="3B4337D1"/>
    <w:rsid w:val="3B4A372C"/>
    <w:rsid w:val="3B533787"/>
    <w:rsid w:val="3B5647EB"/>
    <w:rsid w:val="3B5D7253"/>
    <w:rsid w:val="3B5E0FCF"/>
    <w:rsid w:val="3B642C3B"/>
    <w:rsid w:val="3B744321"/>
    <w:rsid w:val="3B792588"/>
    <w:rsid w:val="3B7A3337"/>
    <w:rsid w:val="3B837BC2"/>
    <w:rsid w:val="3B902E82"/>
    <w:rsid w:val="3BA41F8F"/>
    <w:rsid w:val="3BB56679"/>
    <w:rsid w:val="3BB6619F"/>
    <w:rsid w:val="3BBA5271"/>
    <w:rsid w:val="3BC04CB1"/>
    <w:rsid w:val="3BD241EB"/>
    <w:rsid w:val="3BEB35E2"/>
    <w:rsid w:val="3BF07EEA"/>
    <w:rsid w:val="3BF44C20"/>
    <w:rsid w:val="3C065ED9"/>
    <w:rsid w:val="3C0D5895"/>
    <w:rsid w:val="3C184BFE"/>
    <w:rsid w:val="3C1D0082"/>
    <w:rsid w:val="3C297BD1"/>
    <w:rsid w:val="3C34433A"/>
    <w:rsid w:val="3C3D456D"/>
    <w:rsid w:val="3C3F2EF6"/>
    <w:rsid w:val="3C415C94"/>
    <w:rsid w:val="3C487A4E"/>
    <w:rsid w:val="3C4F28F9"/>
    <w:rsid w:val="3C5422A9"/>
    <w:rsid w:val="3C6A6BB7"/>
    <w:rsid w:val="3C6F00CB"/>
    <w:rsid w:val="3C6F1352"/>
    <w:rsid w:val="3C6F1997"/>
    <w:rsid w:val="3C7213CD"/>
    <w:rsid w:val="3C743CD9"/>
    <w:rsid w:val="3C76780F"/>
    <w:rsid w:val="3C7F1ADB"/>
    <w:rsid w:val="3C89220B"/>
    <w:rsid w:val="3C8E116D"/>
    <w:rsid w:val="3C944F0B"/>
    <w:rsid w:val="3C9E6841"/>
    <w:rsid w:val="3CA21E62"/>
    <w:rsid w:val="3CA52FD0"/>
    <w:rsid w:val="3CAE1031"/>
    <w:rsid w:val="3CB46754"/>
    <w:rsid w:val="3CBC4204"/>
    <w:rsid w:val="3CCE42E6"/>
    <w:rsid w:val="3CE1325B"/>
    <w:rsid w:val="3CEF2C9F"/>
    <w:rsid w:val="3CF97C53"/>
    <w:rsid w:val="3D0172AE"/>
    <w:rsid w:val="3D09356D"/>
    <w:rsid w:val="3D1046AD"/>
    <w:rsid w:val="3D11498C"/>
    <w:rsid w:val="3D2C1E93"/>
    <w:rsid w:val="3D307EB8"/>
    <w:rsid w:val="3D3E4EB8"/>
    <w:rsid w:val="3D435515"/>
    <w:rsid w:val="3D483032"/>
    <w:rsid w:val="3D4C3A82"/>
    <w:rsid w:val="3D4D7E54"/>
    <w:rsid w:val="3D517F2A"/>
    <w:rsid w:val="3D537D77"/>
    <w:rsid w:val="3D7916DE"/>
    <w:rsid w:val="3D81151A"/>
    <w:rsid w:val="3D8B28AC"/>
    <w:rsid w:val="3D8C4D88"/>
    <w:rsid w:val="3D92198C"/>
    <w:rsid w:val="3D9A0C37"/>
    <w:rsid w:val="3D9F4F17"/>
    <w:rsid w:val="3DAD1280"/>
    <w:rsid w:val="3DC8047C"/>
    <w:rsid w:val="3DC95C93"/>
    <w:rsid w:val="3DCA6D27"/>
    <w:rsid w:val="3DD952FA"/>
    <w:rsid w:val="3DE816D7"/>
    <w:rsid w:val="3DEB5C75"/>
    <w:rsid w:val="3DED77C5"/>
    <w:rsid w:val="3DF0263B"/>
    <w:rsid w:val="3DF15E61"/>
    <w:rsid w:val="3DF36F94"/>
    <w:rsid w:val="3DF918C1"/>
    <w:rsid w:val="3DFD0A2D"/>
    <w:rsid w:val="3E0F0C72"/>
    <w:rsid w:val="3E101BEB"/>
    <w:rsid w:val="3E112CC9"/>
    <w:rsid w:val="3E1543BC"/>
    <w:rsid w:val="3E29406D"/>
    <w:rsid w:val="3E2A0BD7"/>
    <w:rsid w:val="3E343C7F"/>
    <w:rsid w:val="3E3675D1"/>
    <w:rsid w:val="3E376191"/>
    <w:rsid w:val="3E3906AE"/>
    <w:rsid w:val="3E4E35D4"/>
    <w:rsid w:val="3E4F3E9D"/>
    <w:rsid w:val="3E506C14"/>
    <w:rsid w:val="3E52458A"/>
    <w:rsid w:val="3E553E65"/>
    <w:rsid w:val="3E5720B8"/>
    <w:rsid w:val="3E5C5CCE"/>
    <w:rsid w:val="3E5F4511"/>
    <w:rsid w:val="3E630375"/>
    <w:rsid w:val="3E677EA8"/>
    <w:rsid w:val="3E6C04BE"/>
    <w:rsid w:val="3E6E304B"/>
    <w:rsid w:val="3E707D7D"/>
    <w:rsid w:val="3E7D77E2"/>
    <w:rsid w:val="3E9D14BD"/>
    <w:rsid w:val="3EAA5384"/>
    <w:rsid w:val="3EB909DC"/>
    <w:rsid w:val="3EBC0F2E"/>
    <w:rsid w:val="3EBF1D4F"/>
    <w:rsid w:val="3EC86DC3"/>
    <w:rsid w:val="3ECB18C9"/>
    <w:rsid w:val="3ED53A17"/>
    <w:rsid w:val="3EDA3271"/>
    <w:rsid w:val="3EDF5F0E"/>
    <w:rsid w:val="3EE622FB"/>
    <w:rsid w:val="3EF8433A"/>
    <w:rsid w:val="3EFD4261"/>
    <w:rsid w:val="3EFD58E8"/>
    <w:rsid w:val="3F002899"/>
    <w:rsid w:val="3F057CC4"/>
    <w:rsid w:val="3F0C6A91"/>
    <w:rsid w:val="3F0E05FA"/>
    <w:rsid w:val="3F10047F"/>
    <w:rsid w:val="3F120246"/>
    <w:rsid w:val="3F133624"/>
    <w:rsid w:val="3F2172A0"/>
    <w:rsid w:val="3F254B99"/>
    <w:rsid w:val="3F276763"/>
    <w:rsid w:val="3F323439"/>
    <w:rsid w:val="3F3941C6"/>
    <w:rsid w:val="3F40661A"/>
    <w:rsid w:val="3F447105"/>
    <w:rsid w:val="3F50751D"/>
    <w:rsid w:val="3F5709D7"/>
    <w:rsid w:val="3F686D98"/>
    <w:rsid w:val="3F722523"/>
    <w:rsid w:val="3F7468B1"/>
    <w:rsid w:val="3F765A24"/>
    <w:rsid w:val="3F77542D"/>
    <w:rsid w:val="3F7D5543"/>
    <w:rsid w:val="3F800C41"/>
    <w:rsid w:val="3F8E35DF"/>
    <w:rsid w:val="3F9F723C"/>
    <w:rsid w:val="3FAB40B2"/>
    <w:rsid w:val="3FAF090E"/>
    <w:rsid w:val="3FAF60B5"/>
    <w:rsid w:val="3FB004C7"/>
    <w:rsid w:val="3FB32632"/>
    <w:rsid w:val="3FB43ED4"/>
    <w:rsid w:val="3FB83D2E"/>
    <w:rsid w:val="3FC053ED"/>
    <w:rsid w:val="3FC350E8"/>
    <w:rsid w:val="3FCA326C"/>
    <w:rsid w:val="3FD65919"/>
    <w:rsid w:val="3FDD08D5"/>
    <w:rsid w:val="3FE1080F"/>
    <w:rsid w:val="3FE578D6"/>
    <w:rsid w:val="3FE58027"/>
    <w:rsid w:val="3FE83AA0"/>
    <w:rsid w:val="40083AC4"/>
    <w:rsid w:val="401049A2"/>
    <w:rsid w:val="401723C6"/>
    <w:rsid w:val="402637B3"/>
    <w:rsid w:val="402D1799"/>
    <w:rsid w:val="403A1A6F"/>
    <w:rsid w:val="404273DB"/>
    <w:rsid w:val="40484F0A"/>
    <w:rsid w:val="405E39ED"/>
    <w:rsid w:val="406B258C"/>
    <w:rsid w:val="40806704"/>
    <w:rsid w:val="408527C3"/>
    <w:rsid w:val="408F455A"/>
    <w:rsid w:val="4098031B"/>
    <w:rsid w:val="40997CF4"/>
    <w:rsid w:val="40B03B3B"/>
    <w:rsid w:val="40B36463"/>
    <w:rsid w:val="40B473C9"/>
    <w:rsid w:val="40BC50AE"/>
    <w:rsid w:val="40BF19F7"/>
    <w:rsid w:val="40DA423E"/>
    <w:rsid w:val="40E21DA4"/>
    <w:rsid w:val="40E62D99"/>
    <w:rsid w:val="40F06647"/>
    <w:rsid w:val="40F12D40"/>
    <w:rsid w:val="40F23666"/>
    <w:rsid w:val="41092B84"/>
    <w:rsid w:val="410B3D33"/>
    <w:rsid w:val="411279D7"/>
    <w:rsid w:val="41134298"/>
    <w:rsid w:val="41226CBC"/>
    <w:rsid w:val="41254C02"/>
    <w:rsid w:val="41292F8B"/>
    <w:rsid w:val="412C1B7B"/>
    <w:rsid w:val="412C76E6"/>
    <w:rsid w:val="413328E5"/>
    <w:rsid w:val="41456176"/>
    <w:rsid w:val="41460F39"/>
    <w:rsid w:val="415A04C6"/>
    <w:rsid w:val="41606C5D"/>
    <w:rsid w:val="4169147C"/>
    <w:rsid w:val="41736A54"/>
    <w:rsid w:val="41786FFC"/>
    <w:rsid w:val="418573F2"/>
    <w:rsid w:val="418D3E83"/>
    <w:rsid w:val="418F5F91"/>
    <w:rsid w:val="41993343"/>
    <w:rsid w:val="419E3EFE"/>
    <w:rsid w:val="41A04918"/>
    <w:rsid w:val="41A72AD8"/>
    <w:rsid w:val="41AF52C8"/>
    <w:rsid w:val="41B215FA"/>
    <w:rsid w:val="41B722D9"/>
    <w:rsid w:val="41B91BDD"/>
    <w:rsid w:val="41BB338E"/>
    <w:rsid w:val="41BE4C06"/>
    <w:rsid w:val="41D6524B"/>
    <w:rsid w:val="41D93DA2"/>
    <w:rsid w:val="41DA3383"/>
    <w:rsid w:val="41DD5342"/>
    <w:rsid w:val="41E178A9"/>
    <w:rsid w:val="41E33143"/>
    <w:rsid w:val="41E7588C"/>
    <w:rsid w:val="41EA6CD5"/>
    <w:rsid w:val="41F52226"/>
    <w:rsid w:val="41FC5F5D"/>
    <w:rsid w:val="42031B26"/>
    <w:rsid w:val="42043D66"/>
    <w:rsid w:val="421F3C7F"/>
    <w:rsid w:val="422D0AE0"/>
    <w:rsid w:val="422F15C0"/>
    <w:rsid w:val="422F41FD"/>
    <w:rsid w:val="42303425"/>
    <w:rsid w:val="423A6AD6"/>
    <w:rsid w:val="423B5297"/>
    <w:rsid w:val="423B73B1"/>
    <w:rsid w:val="423D4DEF"/>
    <w:rsid w:val="42432078"/>
    <w:rsid w:val="424E174E"/>
    <w:rsid w:val="425B7334"/>
    <w:rsid w:val="42675F7F"/>
    <w:rsid w:val="426F7C2F"/>
    <w:rsid w:val="42797D36"/>
    <w:rsid w:val="4280562C"/>
    <w:rsid w:val="428F61FB"/>
    <w:rsid w:val="42961ECE"/>
    <w:rsid w:val="429F031A"/>
    <w:rsid w:val="42A158C4"/>
    <w:rsid w:val="42A50A70"/>
    <w:rsid w:val="42A67E6F"/>
    <w:rsid w:val="42AA7A18"/>
    <w:rsid w:val="42AB6FCE"/>
    <w:rsid w:val="42AC098B"/>
    <w:rsid w:val="42AC2493"/>
    <w:rsid w:val="42AD21C0"/>
    <w:rsid w:val="42D643BE"/>
    <w:rsid w:val="42DC5F56"/>
    <w:rsid w:val="42E943E1"/>
    <w:rsid w:val="42F93E8E"/>
    <w:rsid w:val="42FC498E"/>
    <w:rsid w:val="430012F2"/>
    <w:rsid w:val="4300301E"/>
    <w:rsid w:val="430B14A5"/>
    <w:rsid w:val="431B5CD1"/>
    <w:rsid w:val="43223E0F"/>
    <w:rsid w:val="432A674D"/>
    <w:rsid w:val="433467EA"/>
    <w:rsid w:val="43435D1B"/>
    <w:rsid w:val="435C1AB5"/>
    <w:rsid w:val="435C4E6E"/>
    <w:rsid w:val="43640DF2"/>
    <w:rsid w:val="4369030E"/>
    <w:rsid w:val="436D3F9A"/>
    <w:rsid w:val="437044AD"/>
    <w:rsid w:val="437C219C"/>
    <w:rsid w:val="438C450E"/>
    <w:rsid w:val="438C5823"/>
    <w:rsid w:val="439179E3"/>
    <w:rsid w:val="439B6EC6"/>
    <w:rsid w:val="439C5374"/>
    <w:rsid w:val="439F16C3"/>
    <w:rsid w:val="43BD6618"/>
    <w:rsid w:val="43C22610"/>
    <w:rsid w:val="43C42289"/>
    <w:rsid w:val="43D77C0A"/>
    <w:rsid w:val="43D97CCF"/>
    <w:rsid w:val="43E16305"/>
    <w:rsid w:val="43E51281"/>
    <w:rsid w:val="43E62FF6"/>
    <w:rsid w:val="43F46EB9"/>
    <w:rsid w:val="43FB2727"/>
    <w:rsid w:val="43FE0FEE"/>
    <w:rsid w:val="44094498"/>
    <w:rsid w:val="44116D49"/>
    <w:rsid w:val="44256AA9"/>
    <w:rsid w:val="44256B3D"/>
    <w:rsid w:val="442F61E3"/>
    <w:rsid w:val="44307ECD"/>
    <w:rsid w:val="44310DF1"/>
    <w:rsid w:val="443A083B"/>
    <w:rsid w:val="44472756"/>
    <w:rsid w:val="444F7832"/>
    <w:rsid w:val="44520B6A"/>
    <w:rsid w:val="44532723"/>
    <w:rsid w:val="445B7851"/>
    <w:rsid w:val="447278B1"/>
    <w:rsid w:val="44750B2C"/>
    <w:rsid w:val="447A734F"/>
    <w:rsid w:val="447D6D16"/>
    <w:rsid w:val="44810A1C"/>
    <w:rsid w:val="448D5B33"/>
    <w:rsid w:val="448F3B21"/>
    <w:rsid w:val="449C1C39"/>
    <w:rsid w:val="44A42A20"/>
    <w:rsid w:val="44A71D2B"/>
    <w:rsid w:val="44AC5A27"/>
    <w:rsid w:val="44AE2A4C"/>
    <w:rsid w:val="44B1652B"/>
    <w:rsid w:val="44C1497E"/>
    <w:rsid w:val="44D74F22"/>
    <w:rsid w:val="44DC0695"/>
    <w:rsid w:val="44E13098"/>
    <w:rsid w:val="44E443E0"/>
    <w:rsid w:val="44F30172"/>
    <w:rsid w:val="450D0EE7"/>
    <w:rsid w:val="450E796A"/>
    <w:rsid w:val="451703B8"/>
    <w:rsid w:val="452004C2"/>
    <w:rsid w:val="452725C0"/>
    <w:rsid w:val="452C0AB6"/>
    <w:rsid w:val="453238DA"/>
    <w:rsid w:val="45362327"/>
    <w:rsid w:val="45480936"/>
    <w:rsid w:val="454C2E54"/>
    <w:rsid w:val="454F13DB"/>
    <w:rsid w:val="45516246"/>
    <w:rsid w:val="45524541"/>
    <w:rsid w:val="455742DC"/>
    <w:rsid w:val="45632930"/>
    <w:rsid w:val="456F7688"/>
    <w:rsid w:val="4573036C"/>
    <w:rsid w:val="458705E5"/>
    <w:rsid w:val="45893FE1"/>
    <w:rsid w:val="458F2512"/>
    <w:rsid w:val="4594228F"/>
    <w:rsid w:val="45980EE1"/>
    <w:rsid w:val="459979C3"/>
    <w:rsid w:val="459A120A"/>
    <w:rsid w:val="45A3173A"/>
    <w:rsid w:val="45A3509C"/>
    <w:rsid w:val="45A40130"/>
    <w:rsid w:val="45A55652"/>
    <w:rsid w:val="45B62791"/>
    <w:rsid w:val="45B708C6"/>
    <w:rsid w:val="45B77204"/>
    <w:rsid w:val="45BE4231"/>
    <w:rsid w:val="45C5341B"/>
    <w:rsid w:val="45C7330E"/>
    <w:rsid w:val="45D4007E"/>
    <w:rsid w:val="45E3712D"/>
    <w:rsid w:val="45EF4195"/>
    <w:rsid w:val="45FF21B9"/>
    <w:rsid w:val="46017A73"/>
    <w:rsid w:val="460367C3"/>
    <w:rsid w:val="46041F0B"/>
    <w:rsid w:val="46052988"/>
    <w:rsid w:val="46063D1D"/>
    <w:rsid w:val="46133F28"/>
    <w:rsid w:val="4614500C"/>
    <w:rsid w:val="46156092"/>
    <w:rsid w:val="46236F40"/>
    <w:rsid w:val="462D2027"/>
    <w:rsid w:val="46383AD2"/>
    <w:rsid w:val="463C6E19"/>
    <w:rsid w:val="46410861"/>
    <w:rsid w:val="46491C55"/>
    <w:rsid w:val="46540FB8"/>
    <w:rsid w:val="465F2428"/>
    <w:rsid w:val="46675FDD"/>
    <w:rsid w:val="467420BE"/>
    <w:rsid w:val="46841AFA"/>
    <w:rsid w:val="468C6267"/>
    <w:rsid w:val="46906984"/>
    <w:rsid w:val="469115B1"/>
    <w:rsid w:val="46930997"/>
    <w:rsid w:val="469959C8"/>
    <w:rsid w:val="469D189C"/>
    <w:rsid w:val="469D41B7"/>
    <w:rsid w:val="469D5F7C"/>
    <w:rsid w:val="46A56D72"/>
    <w:rsid w:val="46AD2560"/>
    <w:rsid w:val="46AE4179"/>
    <w:rsid w:val="46B270CB"/>
    <w:rsid w:val="46B946FA"/>
    <w:rsid w:val="46C70AA1"/>
    <w:rsid w:val="46C8217C"/>
    <w:rsid w:val="46D22499"/>
    <w:rsid w:val="46D94415"/>
    <w:rsid w:val="46F12AF6"/>
    <w:rsid w:val="46FD29BE"/>
    <w:rsid w:val="470E3F15"/>
    <w:rsid w:val="470F5C2E"/>
    <w:rsid w:val="471022A0"/>
    <w:rsid w:val="473C41C1"/>
    <w:rsid w:val="473E2249"/>
    <w:rsid w:val="47475714"/>
    <w:rsid w:val="4751515D"/>
    <w:rsid w:val="475D4392"/>
    <w:rsid w:val="47725350"/>
    <w:rsid w:val="47770E27"/>
    <w:rsid w:val="477A25DC"/>
    <w:rsid w:val="477F4EC4"/>
    <w:rsid w:val="478058CD"/>
    <w:rsid w:val="478E5310"/>
    <w:rsid w:val="47985A62"/>
    <w:rsid w:val="479A5C68"/>
    <w:rsid w:val="479D442C"/>
    <w:rsid w:val="47A1127D"/>
    <w:rsid w:val="47A43DB0"/>
    <w:rsid w:val="47A704F4"/>
    <w:rsid w:val="47A75CF2"/>
    <w:rsid w:val="47AD5E79"/>
    <w:rsid w:val="47B40F0E"/>
    <w:rsid w:val="47B913CA"/>
    <w:rsid w:val="47C76821"/>
    <w:rsid w:val="47C778F5"/>
    <w:rsid w:val="47D85C2E"/>
    <w:rsid w:val="47DA7056"/>
    <w:rsid w:val="47E31DF5"/>
    <w:rsid w:val="47E45064"/>
    <w:rsid w:val="47E71D72"/>
    <w:rsid w:val="47E72F93"/>
    <w:rsid w:val="47FB6AF4"/>
    <w:rsid w:val="48121F57"/>
    <w:rsid w:val="4812286D"/>
    <w:rsid w:val="481A7AB2"/>
    <w:rsid w:val="48221C15"/>
    <w:rsid w:val="482A4CD9"/>
    <w:rsid w:val="48375998"/>
    <w:rsid w:val="483A3CD0"/>
    <w:rsid w:val="483C7010"/>
    <w:rsid w:val="48422064"/>
    <w:rsid w:val="484231DD"/>
    <w:rsid w:val="48465D62"/>
    <w:rsid w:val="484A5C3D"/>
    <w:rsid w:val="48522D2C"/>
    <w:rsid w:val="48577956"/>
    <w:rsid w:val="4862201D"/>
    <w:rsid w:val="4866040D"/>
    <w:rsid w:val="486C4D79"/>
    <w:rsid w:val="486D6847"/>
    <w:rsid w:val="487E25C4"/>
    <w:rsid w:val="48837182"/>
    <w:rsid w:val="488622B4"/>
    <w:rsid w:val="4889223B"/>
    <w:rsid w:val="489B17FA"/>
    <w:rsid w:val="48A64130"/>
    <w:rsid w:val="48BD5399"/>
    <w:rsid w:val="48BF2207"/>
    <w:rsid w:val="48C14BFB"/>
    <w:rsid w:val="48D27F6B"/>
    <w:rsid w:val="48D77517"/>
    <w:rsid w:val="48D865B3"/>
    <w:rsid w:val="48DD1786"/>
    <w:rsid w:val="48EC7F95"/>
    <w:rsid w:val="48EF51A7"/>
    <w:rsid w:val="48FC6D0D"/>
    <w:rsid w:val="48FE49B1"/>
    <w:rsid w:val="49082F39"/>
    <w:rsid w:val="49085F39"/>
    <w:rsid w:val="49091803"/>
    <w:rsid w:val="490E7229"/>
    <w:rsid w:val="491921CF"/>
    <w:rsid w:val="491D3B52"/>
    <w:rsid w:val="491E77C3"/>
    <w:rsid w:val="49277737"/>
    <w:rsid w:val="49466C4F"/>
    <w:rsid w:val="494D2587"/>
    <w:rsid w:val="496820E8"/>
    <w:rsid w:val="49757669"/>
    <w:rsid w:val="4978446C"/>
    <w:rsid w:val="498B480A"/>
    <w:rsid w:val="498C6979"/>
    <w:rsid w:val="499B0D89"/>
    <w:rsid w:val="499B73B7"/>
    <w:rsid w:val="499D16BD"/>
    <w:rsid w:val="49CE71CB"/>
    <w:rsid w:val="49D00CD8"/>
    <w:rsid w:val="49D8438B"/>
    <w:rsid w:val="49DF71C2"/>
    <w:rsid w:val="49E33376"/>
    <w:rsid w:val="49E62507"/>
    <w:rsid w:val="49EA0655"/>
    <w:rsid w:val="49F05AA3"/>
    <w:rsid w:val="49FB0E88"/>
    <w:rsid w:val="49FB5D8B"/>
    <w:rsid w:val="4A03761E"/>
    <w:rsid w:val="4A043700"/>
    <w:rsid w:val="4A0D6FA1"/>
    <w:rsid w:val="4A0E06FA"/>
    <w:rsid w:val="4A113846"/>
    <w:rsid w:val="4A205765"/>
    <w:rsid w:val="4A22110A"/>
    <w:rsid w:val="4A274148"/>
    <w:rsid w:val="4A371195"/>
    <w:rsid w:val="4A42714D"/>
    <w:rsid w:val="4A4C45C8"/>
    <w:rsid w:val="4A5C3B90"/>
    <w:rsid w:val="4A696959"/>
    <w:rsid w:val="4A6B24EC"/>
    <w:rsid w:val="4A6B7CCC"/>
    <w:rsid w:val="4A7414C0"/>
    <w:rsid w:val="4A753CBC"/>
    <w:rsid w:val="4A7E1EB8"/>
    <w:rsid w:val="4A801F97"/>
    <w:rsid w:val="4A8B68F9"/>
    <w:rsid w:val="4A98773B"/>
    <w:rsid w:val="4A9910B0"/>
    <w:rsid w:val="4AA05A74"/>
    <w:rsid w:val="4AAB7811"/>
    <w:rsid w:val="4ABA0735"/>
    <w:rsid w:val="4AC42B28"/>
    <w:rsid w:val="4ACC09AD"/>
    <w:rsid w:val="4ACD2E56"/>
    <w:rsid w:val="4AD60F29"/>
    <w:rsid w:val="4AD71B06"/>
    <w:rsid w:val="4AE17DAF"/>
    <w:rsid w:val="4AEA03B4"/>
    <w:rsid w:val="4AF42368"/>
    <w:rsid w:val="4B006227"/>
    <w:rsid w:val="4B024986"/>
    <w:rsid w:val="4B22659D"/>
    <w:rsid w:val="4B2B725B"/>
    <w:rsid w:val="4B40753A"/>
    <w:rsid w:val="4B4239F0"/>
    <w:rsid w:val="4B560E85"/>
    <w:rsid w:val="4B5A010E"/>
    <w:rsid w:val="4B671F01"/>
    <w:rsid w:val="4B7A4B35"/>
    <w:rsid w:val="4B830776"/>
    <w:rsid w:val="4B8F0105"/>
    <w:rsid w:val="4B903986"/>
    <w:rsid w:val="4B9E7C3D"/>
    <w:rsid w:val="4BA151BE"/>
    <w:rsid w:val="4BA751FD"/>
    <w:rsid w:val="4BAE291D"/>
    <w:rsid w:val="4BB47BDB"/>
    <w:rsid w:val="4BC23158"/>
    <w:rsid w:val="4BCC78B4"/>
    <w:rsid w:val="4BD40B63"/>
    <w:rsid w:val="4BDE4A05"/>
    <w:rsid w:val="4BE14DA5"/>
    <w:rsid w:val="4BE37374"/>
    <w:rsid w:val="4BEE62C0"/>
    <w:rsid w:val="4BF03601"/>
    <w:rsid w:val="4BFB71AD"/>
    <w:rsid w:val="4C0C0A45"/>
    <w:rsid w:val="4C0C484A"/>
    <w:rsid w:val="4C162F3E"/>
    <w:rsid w:val="4C322AC0"/>
    <w:rsid w:val="4C367BF8"/>
    <w:rsid w:val="4C3D57DB"/>
    <w:rsid w:val="4C4F042B"/>
    <w:rsid w:val="4C581F19"/>
    <w:rsid w:val="4C5A0687"/>
    <w:rsid w:val="4C5A3F40"/>
    <w:rsid w:val="4C6269ED"/>
    <w:rsid w:val="4C6A3111"/>
    <w:rsid w:val="4C6C19F3"/>
    <w:rsid w:val="4C6D1156"/>
    <w:rsid w:val="4C983067"/>
    <w:rsid w:val="4C9C6293"/>
    <w:rsid w:val="4CA14F02"/>
    <w:rsid w:val="4CA30F6A"/>
    <w:rsid w:val="4CA57ABD"/>
    <w:rsid w:val="4CA812E1"/>
    <w:rsid w:val="4CA934B3"/>
    <w:rsid w:val="4CB71991"/>
    <w:rsid w:val="4CC2485B"/>
    <w:rsid w:val="4CCA76FC"/>
    <w:rsid w:val="4CD46CB9"/>
    <w:rsid w:val="4CDF137E"/>
    <w:rsid w:val="4CDF21FF"/>
    <w:rsid w:val="4CF0693A"/>
    <w:rsid w:val="4CFE00A7"/>
    <w:rsid w:val="4CFE0377"/>
    <w:rsid w:val="4D096F8B"/>
    <w:rsid w:val="4D0B36A9"/>
    <w:rsid w:val="4D0E1193"/>
    <w:rsid w:val="4D11282E"/>
    <w:rsid w:val="4D147D6E"/>
    <w:rsid w:val="4D1A0E33"/>
    <w:rsid w:val="4D2816CB"/>
    <w:rsid w:val="4D2C5A61"/>
    <w:rsid w:val="4D3D5B9B"/>
    <w:rsid w:val="4D404E88"/>
    <w:rsid w:val="4D46769B"/>
    <w:rsid w:val="4D56557F"/>
    <w:rsid w:val="4D5840E6"/>
    <w:rsid w:val="4D59389F"/>
    <w:rsid w:val="4D6D3E13"/>
    <w:rsid w:val="4D706826"/>
    <w:rsid w:val="4D723B28"/>
    <w:rsid w:val="4D766DD9"/>
    <w:rsid w:val="4D7755F2"/>
    <w:rsid w:val="4D875776"/>
    <w:rsid w:val="4D881501"/>
    <w:rsid w:val="4D8D3012"/>
    <w:rsid w:val="4D8E4DD4"/>
    <w:rsid w:val="4D90743D"/>
    <w:rsid w:val="4DA34F48"/>
    <w:rsid w:val="4DA85A67"/>
    <w:rsid w:val="4DC32C71"/>
    <w:rsid w:val="4DC60818"/>
    <w:rsid w:val="4DCC7D9A"/>
    <w:rsid w:val="4DDF0B6D"/>
    <w:rsid w:val="4DDF4CC6"/>
    <w:rsid w:val="4DE74B46"/>
    <w:rsid w:val="4DE83E15"/>
    <w:rsid w:val="4DEC53BD"/>
    <w:rsid w:val="4DF7484D"/>
    <w:rsid w:val="4DF770DC"/>
    <w:rsid w:val="4DF959D1"/>
    <w:rsid w:val="4DFD2D8B"/>
    <w:rsid w:val="4E004FB0"/>
    <w:rsid w:val="4E1B705C"/>
    <w:rsid w:val="4E241736"/>
    <w:rsid w:val="4E2C3A89"/>
    <w:rsid w:val="4E424A4F"/>
    <w:rsid w:val="4E4560DB"/>
    <w:rsid w:val="4E461880"/>
    <w:rsid w:val="4E4D2D60"/>
    <w:rsid w:val="4E642051"/>
    <w:rsid w:val="4E6A70E8"/>
    <w:rsid w:val="4E6B502D"/>
    <w:rsid w:val="4E711BD7"/>
    <w:rsid w:val="4E7973AF"/>
    <w:rsid w:val="4E7E0104"/>
    <w:rsid w:val="4E823E36"/>
    <w:rsid w:val="4E847CC1"/>
    <w:rsid w:val="4E924189"/>
    <w:rsid w:val="4E975DBF"/>
    <w:rsid w:val="4E9A3698"/>
    <w:rsid w:val="4E9C2A02"/>
    <w:rsid w:val="4EA91698"/>
    <w:rsid w:val="4EB322F5"/>
    <w:rsid w:val="4EB65088"/>
    <w:rsid w:val="4EBB41C9"/>
    <w:rsid w:val="4EBC4E8F"/>
    <w:rsid w:val="4EC030F3"/>
    <w:rsid w:val="4EC8102D"/>
    <w:rsid w:val="4ED9168B"/>
    <w:rsid w:val="4EDA3990"/>
    <w:rsid w:val="4EDD40A0"/>
    <w:rsid w:val="4EE73B17"/>
    <w:rsid w:val="4EEA0AEA"/>
    <w:rsid w:val="4F1222EE"/>
    <w:rsid w:val="4F162D8C"/>
    <w:rsid w:val="4F1F0736"/>
    <w:rsid w:val="4F281EF1"/>
    <w:rsid w:val="4F29066C"/>
    <w:rsid w:val="4F301F69"/>
    <w:rsid w:val="4F363795"/>
    <w:rsid w:val="4F3F1EDC"/>
    <w:rsid w:val="4F421F5A"/>
    <w:rsid w:val="4F440487"/>
    <w:rsid w:val="4F4443D2"/>
    <w:rsid w:val="4F456BDD"/>
    <w:rsid w:val="4F4B7DF3"/>
    <w:rsid w:val="4F5D68E4"/>
    <w:rsid w:val="4F5F31EC"/>
    <w:rsid w:val="4F677B4B"/>
    <w:rsid w:val="4F6A1655"/>
    <w:rsid w:val="4F6F39FB"/>
    <w:rsid w:val="4F731788"/>
    <w:rsid w:val="4F7749C4"/>
    <w:rsid w:val="4F8D45B8"/>
    <w:rsid w:val="4F8E70E8"/>
    <w:rsid w:val="4F8F7BB2"/>
    <w:rsid w:val="4FAD23E1"/>
    <w:rsid w:val="4FBB40FC"/>
    <w:rsid w:val="4FBD2BC6"/>
    <w:rsid w:val="4FBF6BF5"/>
    <w:rsid w:val="4FC35DFE"/>
    <w:rsid w:val="4FC51AA9"/>
    <w:rsid w:val="4FC60F89"/>
    <w:rsid w:val="4FC91C5A"/>
    <w:rsid w:val="4FDC0344"/>
    <w:rsid w:val="4FE21CDB"/>
    <w:rsid w:val="4FEC0737"/>
    <w:rsid w:val="4FF059AF"/>
    <w:rsid w:val="4FF62A1E"/>
    <w:rsid w:val="4FFB0C5D"/>
    <w:rsid w:val="4FFFAE15"/>
    <w:rsid w:val="50060C1E"/>
    <w:rsid w:val="5007428D"/>
    <w:rsid w:val="500F5443"/>
    <w:rsid w:val="50153EE7"/>
    <w:rsid w:val="502400AC"/>
    <w:rsid w:val="50265497"/>
    <w:rsid w:val="5028432F"/>
    <w:rsid w:val="502F427F"/>
    <w:rsid w:val="5031333D"/>
    <w:rsid w:val="503A7D91"/>
    <w:rsid w:val="504854B5"/>
    <w:rsid w:val="50532517"/>
    <w:rsid w:val="50570A93"/>
    <w:rsid w:val="50574EA1"/>
    <w:rsid w:val="5059457E"/>
    <w:rsid w:val="505D4E10"/>
    <w:rsid w:val="505F76EF"/>
    <w:rsid w:val="5066546E"/>
    <w:rsid w:val="50744666"/>
    <w:rsid w:val="50771AA1"/>
    <w:rsid w:val="507C0887"/>
    <w:rsid w:val="507F76CB"/>
    <w:rsid w:val="5087035D"/>
    <w:rsid w:val="508B7517"/>
    <w:rsid w:val="508E32B4"/>
    <w:rsid w:val="508F5841"/>
    <w:rsid w:val="50953D95"/>
    <w:rsid w:val="50A11E46"/>
    <w:rsid w:val="50A54782"/>
    <w:rsid w:val="50AA61EA"/>
    <w:rsid w:val="50AA6329"/>
    <w:rsid w:val="50AC5094"/>
    <w:rsid w:val="50B22137"/>
    <w:rsid w:val="50B562BC"/>
    <w:rsid w:val="50C179F9"/>
    <w:rsid w:val="50C474B4"/>
    <w:rsid w:val="50DB623A"/>
    <w:rsid w:val="50DF4C82"/>
    <w:rsid w:val="50E32928"/>
    <w:rsid w:val="50FD37B4"/>
    <w:rsid w:val="510F31AB"/>
    <w:rsid w:val="51103DAA"/>
    <w:rsid w:val="511163DB"/>
    <w:rsid w:val="51124E71"/>
    <w:rsid w:val="511A367D"/>
    <w:rsid w:val="51221682"/>
    <w:rsid w:val="512E64B2"/>
    <w:rsid w:val="5132758E"/>
    <w:rsid w:val="513B5BA9"/>
    <w:rsid w:val="5140098C"/>
    <w:rsid w:val="5140536A"/>
    <w:rsid w:val="514304C6"/>
    <w:rsid w:val="51463E4E"/>
    <w:rsid w:val="51470E62"/>
    <w:rsid w:val="5148362D"/>
    <w:rsid w:val="51484FE8"/>
    <w:rsid w:val="514A507B"/>
    <w:rsid w:val="514B299E"/>
    <w:rsid w:val="514F2965"/>
    <w:rsid w:val="515016F7"/>
    <w:rsid w:val="51554496"/>
    <w:rsid w:val="51602181"/>
    <w:rsid w:val="516C3D1A"/>
    <w:rsid w:val="516D574D"/>
    <w:rsid w:val="516F0F23"/>
    <w:rsid w:val="51746CFF"/>
    <w:rsid w:val="518462DE"/>
    <w:rsid w:val="51855935"/>
    <w:rsid w:val="519448C9"/>
    <w:rsid w:val="51A02E54"/>
    <w:rsid w:val="51A56C2C"/>
    <w:rsid w:val="51A962CB"/>
    <w:rsid w:val="51AD58B0"/>
    <w:rsid w:val="51B13FAB"/>
    <w:rsid w:val="51B56E76"/>
    <w:rsid w:val="51C913EF"/>
    <w:rsid w:val="51CD631A"/>
    <w:rsid w:val="51D062BD"/>
    <w:rsid w:val="51D166B6"/>
    <w:rsid w:val="51D53EE6"/>
    <w:rsid w:val="51DA22D1"/>
    <w:rsid w:val="51DD0F55"/>
    <w:rsid w:val="51E86106"/>
    <w:rsid w:val="51EE48DD"/>
    <w:rsid w:val="51F01D73"/>
    <w:rsid w:val="51F55986"/>
    <w:rsid w:val="52036ADB"/>
    <w:rsid w:val="52091AF9"/>
    <w:rsid w:val="520F0C25"/>
    <w:rsid w:val="521920CD"/>
    <w:rsid w:val="522B2CFF"/>
    <w:rsid w:val="522C1BC4"/>
    <w:rsid w:val="522E63A9"/>
    <w:rsid w:val="52400EBE"/>
    <w:rsid w:val="524252A0"/>
    <w:rsid w:val="524E0CE5"/>
    <w:rsid w:val="524E206F"/>
    <w:rsid w:val="524E6E79"/>
    <w:rsid w:val="525768A3"/>
    <w:rsid w:val="525A3421"/>
    <w:rsid w:val="525C1D22"/>
    <w:rsid w:val="525C2A39"/>
    <w:rsid w:val="525D3282"/>
    <w:rsid w:val="525E66EA"/>
    <w:rsid w:val="52644219"/>
    <w:rsid w:val="526614BE"/>
    <w:rsid w:val="52697165"/>
    <w:rsid w:val="52742171"/>
    <w:rsid w:val="527C5583"/>
    <w:rsid w:val="5283083D"/>
    <w:rsid w:val="52940689"/>
    <w:rsid w:val="529B4F02"/>
    <w:rsid w:val="529C4966"/>
    <w:rsid w:val="529E23F7"/>
    <w:rsid w:val="529F1980"/>
    <w:rsid w:val="52A91BA6"/>
    <w:rsid w:val="52AB4598"/>
    <w:rsid w:val="52C03E10"/>
    <w:rsid w:val="52C674FF"/>
    <w:rsid w:val="52CC26DB"/>
    <w:rsid w:val="52D309E2"/>
    <w:rsid w:val="52D8540B"/>
    <w:rsid w:val="52DA47AB"/>
    <w:rsid w:val="52DC47E9"/>
    <w:rsid w:val="52E44804"/>
    <w:rsid w:val="52E73B47"/>
    <w:rsid w:val="52EA0923"/>
    <w:rsid w:val="52ED0383"/>
    <w:rsid w:val="52F63234"/>
    <w:rsid w:val="52F76E91"/>
    <w:rsid w:val="5303053B"/>
    <w:rsid w:val="53065423"/>
    <w:rsid w:val="530C75BF"/>
    <w:rsid w:val="531342DE"/>
    <w:rsid w:val="53137A83"/>
    <w:rsid w:val="5316019C"/>
    <w:rsid w:val="53194419"/>
    <w:rsid w:val="531B29A3"/>
    <w:rsid w:val="531D1244"/>
    <w:rsid w:val="53215E1C"/>
    <w:rsid w:val="53285A29"/>
    <w:rsid w:val="53427573"/>
    <w:rsid w:val="53437470"/>
    <w:rsid w:val="534B397E"/>
    <w:rsid w:val="535A6C75"/>
    <w:rsid w:val="535E2C25"/>
    <w:rsid w:val="53635FB7"/>
    <w:rsid w:val="5366677A"/>
    <w:rsid w:val="5369324D"/>
    <w:rsid w:val="536E1317"/>
    <w:rsid w:val="5371664E"/>
    <w:rsid w:val="537A1961"/>
    <w:rsid w:val="53845C8E"/>
    <w:rsid w:val="538C4B56"/>
    <w:rsid w:val="538F47E9"/>
    <w:rsid w:val="53921B62"/>
    <w:rsid w:val="53965515"/>
    <w:rsid w:val="53973E26"/>
    <w:rsid w:val="53A10327"/>
    <w:rsid w:val="53B118AC"/>
    <w:rsid w:val="53B43C0A"/>
    <w:rsid w:val="53B46685"/>
    <w:rsid w:val="53BE2E1B"/>
    <w:rsid w:val="53C13BA3"/>
    <w:rsid w:val="53C52684"/>
    <w:rsid w:val="53CC30C3"/>
    <w:rsid w:val="53CD575D"/>
    <w:rsid w:val="53D82A09"/>
    <w:rsid w:val="53D9577D"/>
    <w:rsid w:val="53DC7788"/>
    <w:rsid w:val="53E2658E"/>
    <w:rsid w:val="53E40141"/>
    <w:rsid w:val="53F34CA4"/>
    <w:rsid w:val="53FD6AEC"/>
    <w:rsid w:val="540B0828"/>
    <w:rsid w:val="54157C5D"/>
    <w:rsid w:val="541B57FE"/>
    <w:rsid w:val="541B6974"/>
    <w:rsid w:val="54212C08"/>
    <w:rsid w:val="54303D8E"/>
    <w:rsid w:val="543E3321"/>
    <w:rsid w:val="54423B9F"/>
    <w:rsid w:val="544B64B1"/>
    <w:rsid w:val="545A437B"/>
    <w:rsid w:val="54600B72"/>
    <w:rsid w:val="54831A52"/>
    <w:rsid w:val="54841F80"/>
    <w:rsid w:val="548E3FCE"/>
    <w:rsid w:val="549A6572"/>
    <w:rsid w:val="549B67FA"/>
    <w:rsid w:val="54A06950"/>
    <w:rsid w:val="54B50266"/>
    <w:rsid w:val="54B925F6"/>
    <w:rsid w:val="54BE5CC6"/>
    <w:rsid w:val="54C8567E"/>
    <w:rsid w:val="54C978E9"/>
    <w:rsid w:val="54D32FAF"/>
    <w:rsid w:val="54DF2040"/>
    <w:rsid w:val="54EA73C2"/>
    <w:rsid w:val="54F64C16"/>
    <w:rsid w:val="54FA68EA"/>
    <w:rsid w:val="54FB47F9"/>
    <w:rsid w:val="54FD1AA2"/>
    <w:rsid w:val="550459F6"/>
    <w:rsid w:val="551A31C1"/>
    <w:rsid w:val="551C2A7E"/>
    <w:rsid w:val="552B7669"/>
    <w:rsid w:val="552D0E1C"/>
    <w:rsid w:val="55380BB2"/>
    <w:rsid w:val="554B500C"/>
    <w:rsid w:val="554C49DC"/>
    <w:rsid w:val="554E3886"/>
    <w:rsid w:val="55535B36"/>
    <w:rsid w:val="55552695"/>
    <w:rsid w:val="5557552D"/>
    <w:rsid w:val="55577066"/>
    <w:rsid w:val="555B253D"/>
    <w:rsid w:val="558042E7"/>
    <w:rsid w:val="55804B52"/>
    <w:rsid w:val="55844378"/>
    <w:rsid w:val="5588639B"/>
    <w:rsid w:val="558B1E37"/>
    <w:rsid w:val="558D32F1"/>
    <w:rsid w:val="558D3EB9"/>
    <w:rsid w:val="559122E1"/>
    <w:rsid w:val="559D0E57"/>
    <w:rsid w:val="55A14E61"/>
    <w:rsid w:val="55AC0F30"/>
    <w:rsid w:val="55B8724D"/>
    <w:rsid w:val="55BF71FE"/>
    <w:rsid w:val="55C7129E"/>
    <w:rsid w:val="55CD1ACA"/>
    <w:rsid w:val="55E64AF2"/>
    <w:rsid w:val="55E73624"/>
    <w:rsid w:val="55EC61E6"/>
    <w:rsid w:val="55ED7752"/>
    <w:rsid w:val="55F32677"/>
    <w:rsid w:val="55FA046F"/>
    <w:rsid w:val="55FD4632"/>
    <w:rsid w:val="560E712A"/>
    <w:rsid w:val="56125678"/>
    <w:rsid w:val="56205D07"/>
    <w:rsid w:val="56253345"/>
    <w:rsid w:val="562748A7"/>
    <w:rsid w:val="56324D4F"/>
    <w:rsid w:val="563F5E66"/>
    <w:rsid w:val="56471ABF"/>
    <w:rsid w:val="56637BFC"/>
    <w:rsid w:val="5664142B"/>
    <w:rsid w:val="566D75B1"/>
    <w:rsid w:val="567D5D2B"/>
    <w:rsid w:val="56814472"/>
    <w:rsid w:val="5686690C"/>
    <w:rsid w:val="568C6605"/>
    <w:rsid w:val="569918AF"/>
    <w:rsid w:val="569B3DF7"/>
    <w:rsid w:val="56AD3616"/>
    <w:rsid w:val="56BC7E8A"/>
    <w:rsid w:val="56BD4F21"/>
    <w:rsid w:val="56BF66CB"/>
    <w:rsid w:val="56C509F3"/>
    <w:rsid w:val="56C50CB5"/>
    <w:rsid w:val="56D23F17"/>
    <w:rsid w:val="56D7415F"/>
    <w:rsid w:val="56D85E7A"/>
    <w:rsid w:val="56DA5479"/>
    <w:rsid w:val="56E72B6D"/>
    <w:rsid w:val="56E95894"/>
    <w:rsid w:val="57086AF7"/>
    <w:rsid w:val="571721CD"/>
    <w:rsid w:val="57191B3A"/>
    <w:rsid w:val="571D6244"/>
    <w:rsid w:val="5721438D"/>
    <w:rsid w:val="57282E26"/>
    <w:rsid w:val="57334C15"/>
    <w:rsid w:val="57420DDC"/>
    <w:rsid w:val="57473AB1"/>
    <w:rsid w:val="574B1F3E"/>
    <w:rsid w:val="574B684D"/>
    <w:rsid w:val="575117B4"/>
    <w:rsid w:val="575545DF"/>
    <w:rsid w:val="57582D11"/>
    <w:rsid w:val="575D5749"/>
    <w:rsid w:val="575E15E6"/>
    <w:rsid w:val="576D128A"/>
    <w:rsid w:val="57794642"/>
    <w:rsid w:val="577E0B1A"/>
    <w:rsid w:val="577F0938"/>
    <w:rsid w:val="577F5C4B"/>
    <w:rsid w:val="57900172"/>
    <w:rsid w:val="579B053A"/>
    <w:rsid w:val="57A27875"/>
    <w:rsid w:val="57A94EAA"/>
    <w:rsid w:val="57AD5D59"/>
    <w:rsid w:val="57B0258E"/>
    <w:rsid w:val="57B31F64"/>
    <w:rsid w:val="57B6768E"/>
    <w:rsid w:val="57BA03FF"/>
    <w:rsid w:val="57D3423C"/>
    <w:rsid w:val="57D64EA8"/>
    <w:rsid w:val="57DA6994"/>
    <w:rsid w:val="57E068F8"/>
    <w:rsid w:val="57E7337D"/>
    <w:rsid w:val="57E926F3"/>
    <w:rsid w:val="57ED4CA7"/>
    <w:rsid w:val="57F01234"/>
    <w:rsid w:val="57F024F4"/>
    <w:rsid w:val="57F83A65"/>
    <w:rsid w:val="57FE2366"/>
    <w:rsid w:val="580229B3"/>
    <w:rsid w:val="580C1954"/>
    <w:rsid w:val="580C5CC0"/>
    <w:rsid w:val="580D7BF6"/>
    <w:rsid w:val="581D60C7"/>
    <w:rsid w:val="581D680A"/>
    <w:rsid w:val="58205D36"/>
    <w:rsid w:val="582335CB"/>
    <w:rsid w:val="583460EA"/>
    <w:rsid w:val="583A26C1"/>
    <w:rsid w:val="583A2837"/>
    <w:rsid w:val="58454971"/>
    <w:rsid w:val="58482F72"/>
    <w:rsid w:val="585D5B58"/>
    <w:rsid w:val="5860437E"/>
    <w:rsid w:val="58671D64"/>
    <w:rsid w:val="586E2E47"/>
    <w:rsid w:val="587B506D"/>
    <w:rsid w:val="587B50D7"/>
    <w:rsid w:val="587B61E2"/>
    <w:rsid w:val="58803C14"/>
    <w:rsid w:val="589633CF"/>
    <w:rsid w:val="58973E48"/>
    <w:rsid w:val="58AF625C"/>
    <w:rsid w:val="58B41DE1"/>
    <w:rsid w:val="58B9654C"/>
    <w:rsid w:val="58BF5203"/>
    <w:rsid w:val="58C0031A"/>
    <w:rsid w:val="58C63E5A"/>
    <w:rsid w:val="58D45994"/>
    <w:rsid w:val="58D65741"/>
    <w:rsid w:val="58D76898"/>
    <w:rsid w:val="58DB14DE"/>
    <w:rsid w:val="58DD5C2F"/>
    <w:rsid w:val="58E15FDB"/>
    <w:rsid w:val="58F251A0"/>
    <w:rsid w:val="590A29B8"/>
    <w:rsid w:val="590B7576"/>
    <w:rsid w:val="590C7016"/>
    <w:rsid w:val="590C7DCF"/>
    <w:rsid w:val="591974A7"/>
    <w:rsid w:val="591C7731"/>
    <w:rsid w:val="59232B2D"/>
    <w:rsid w:val="592F7377"/>
    <w:rsid w:val="593542EE"/>
    <w:rsid w:val="59383D74"/>
    <w:rsid w:val="593B1A73"/>
    <w:rsid w:val="595A1700"/>
    <w:rsid w:val="59603CC2"/>
    <w:rsid w:val="59665EF0"/>
    <w:rsid w:val="596B169B"/>
    <w:rsid w:val="597223F4"/>
    <w:rsid w:val="59743982"/>
    <w:rsid w:val="59771F17"/>
    <w:rsid w:val="597B12C4"/>
    <w:rsid w:val="59805092"/>
    <w:rsid w:val="5986266F"/>
    <w:rsid w:val="598A2D03"/>
    <w:rsid w:val="598B707E"/>
    <w:rsid w:val="598C7C49"/>
    <w:rsid w:val="59941768"/>
    <w:rsid w:val="59954EFB"/>
    <w:rsid w:val="59960A76"/>
    <w:rsid w:val="599728B8"/>
    <w:rsid w:val="59A96E2B"/>
    <w:rsid w:val="59AA57E5"/>
    <w:rsid w:val="59AC68AC"/>
    <w:rsid w:val="59AD70F1"/>
    <w:rsid w:val="59B22187"/>
    <w:rsid w:val="59B454F7"/>
    <w:rsid w:val="59B56DF5"/>
    <w:rsid w:val="59B61FE3"/>
    <w:rsid w:val="59B75E47"/>
    <w:rsid w:val="59C663C5"/>
    <w:rsid w:val="59CB1C18"/>
    <w:rsid w:val="59D4060E"/>
    <w:rsid w:val="59D508B0"/>
    <w:rsid w:val="59F022C0"/>
    <w:rsid w:val="59F84064"/>
    <w:rsid w:val="5A020A56"/>
    <w:rsid w:val="5A0B0128"/>
    <w:rsid w:val="5A172342"/>
    <w:rsid w:val="5A172D29"/>
    <w:rsid w:val="5A457F50"/>
    <w:rsid w:val="5A4A48BF"/>
    <w:rsid w:val="5A5B2FEA"/>
    <w:rsid w:val="5A5E2375"/>
    <w:rsid w:val="5A5E3C3A"/>
    <w:rsid w:val="5A664E2C"/>
    <w:rsid w:val="5A6776C0"/>
    <w:rsid w:val="5A6C1481"/>
    <w:rsid w:val="5A6E5261"/>
    <w:rsid w:val="5A75780A"/>
    <w:rsid w:val="5A774215"/>
    <w:rsid w:val="5A792B9D"/>
    <w:rsid w:val="5A7F6D2B"/>
    <w:rsid w:val="5A825A13"/>
    <w:rsid w:val="5A8561C8"/>
    <w:rsid w:val="5A8E5F27"/>
    <w:rsid w:val="5AA01021"/>
    <w:rsid w:val="5AA42E9D"/>
    <w:rsid w:val="5AA55201"/>
    <w:rsid w:val="5AA605AA"/>
    <w:rsid w:val="5AA67811"/>
    <w:rsid w:val="5AA93B3D"/>
    <w:rsid w:val="5AAE0FF1"/>
    <w:rsid w:val="5AAE7B73"/>
    <w:rsid w:val="5AB712FC"/>
    <w:rsid w:val="5AB968BB"/>
    <w:rsid w:val="5ABD4F8E"/>
    <w:rsid w:val="5AC36AB6"/>
    <w:rsid w:val="5AD83A19"/>
    <w:rsid w:val="5ADC6E20"/>
    <w:rsid w:val="5ADF234D"/>
    <w:rsid w:val="5ADF43A2"/>
    <w:rsid w:val="5ADF796E"/>
    <w:rsid w:val="5AE0570B"/>
    <w:rsid w:val="5AE94E0F"/>
    <w:rsid w:val="5AEC47DB"/>
    <w:rsid w:val="5AF434D9"/>
    <w:rsid w:val="5AF52A25"/>
    <w:rsid w:val="5B012B4B"/>
    <w:rsid w:val="5B017A9A"/>
    <w:rsid w:val="5B036C8B"/>
    <w:rsid w:val="5B102CB8"/>
    <w:rsid w:val="5B294F9F"/>
    <w:rsid w:val="5B2A4A0D"/>
    <w:rsid w:val="5B323E05"/>
    <w:rsid w:val="5B385F9E"/>
    <w:rsid w:val="5B3A5CC1"/>
    <w:rsid w:val="5B4D204C"/>
    <w:rsid w:val="5B503F67"/>
    <w:rsid w:val="5B525665"/>
    <w:rsid w:val="5B5F61C1"/>
    <w:rsid w:val="5B632FE6"/>
    <w:rsid w:val="5B6373F4"/>
    <w:rsid w:val="5B667136"/>
    <w:rsid w:val="5B6844E4"/>
    <w:rsid w:val="5B722834"/>
    <w:rsid w:val="5B7F7414"/>
    <w:rsid w:val="5B907E4F"/>
    <w:rsid w:val="5B9A5703"/>
    <w:rsid w:val="5B9C717B"/>
    <w:rsid w:val="5B9F5BDA"/>
    <w:rsid w:val="5BAB3E84"/>
    <w:rsid w:val="5BAC648A"/>
    <w:rsid w:val="5BB92947"/>
    <w:rsid w:val="5BC86192"/>
    <w:rsid w:val="5BCB36D8"/>
    <w:rsid w:val="5BD61707"/>
    <w:rsid w:val="5BDC6076"/>
    <w:rsid w:val="5BDE066C"/>
    <w:rsid w:val="5BEA03BC"/>
    <w:rsid w:val="5BF427F7"/>
    <w:rsid w:val="5BF7B061"/>
    <w:rsid w:val="5BF84E38"/>
    <w:rsid w:val="5C053D40"/>
    <w:rsid w:val="5C080C28"/>
    <w:rsid w:val="5C10732A"/>
    <w:rsid w:val="5C112E17"/>
    <w:rsid w:val="5C191FA6"/>
    <w:rsid w:val="5C1B3DFB"/>
    <w:rsid w:val="5C256E8D"/>
    <w:rsid w:val="5C2B57B2"/>
    <w:rsid w:val="5C2E6252"/>
    <w:rsid w:val="5C3118AF"/>
    <w:rsid w:val="5C3E7367"/>
    <w:rsid w:val="5C450F05"/>
    <w:rsid w:val="5C477881"/>
    <w:rsid w:val="5C597675"/>
    <w:rsid w:val="5C6544AB"/>
    <w:rsid w:val="5C685907"/>
    <w:rsid w:val="5C6F6A48"/>
    <w:rsid w:val="5C7755FF"/>
    <w:rsid w:val="5C7A17B8"/>
    <w:rsid w:val="5C81372A"/>
    <w:rsid w:val="5C8C0069"/>
    <w:rsid w:val="5C8D3398"/>
    <w:rsid w:val="5C8D553E"/>
    <w:rsid w:val="5C961015"/>
    <w:rsid w:val="5CA07371"/>
    <w:rsid w:val="5CBC3290"/>
    <w:rsid w:val="5CC80A91"/>
    <w:rsid w:val="5CCB0313"/>
    <w:rsid w:val="5CD16DD3"/>
    <w:rsid w:val="5CDC698F"/>
    <w:rsid w:val="5CDF5F21"/>
    <w:rsid w:val="5CE16F1A"/>
    <w:rsid w:val="5CE36C7E"/>
    <w:rsid w:val="5CE92781"/>
    <w:rsid w:val="5CEC4C30"/>
    <w:rsid w:val="5CED23B1"/>
    <w:rsid w:val="5CF06016"/>
    <w:rsid w:val="5CF62BA6"/>
    <w:rsid w:val="5CF74C0E"/>
    <w:rsid w:val="5D0339AB"/>
    <w:rsid w:val="5D0846EA"/>
    <w:rsid w:val="5D0D75B1"/>
    <w:rsid w:val="5D0F6C3E"/>
    <w:rsid w:val="5D122DC2"/>
    <w:rsid w:val="5D1870BD"/>
    <w:rsid w:val="5D234EB6"/>
    <w:rsid w:val="5D290FD7"/>
    <w:rsid w:val="5D294DBB"/>
    <w:rsid w:val="5D2A13A8"/>
    <w:rsid w:val="5D2E49B7"/>
    <w:rsid w:val="5D3233EE"/>
    <w:rsid w:val="5D3A31BE"/>
    <w:rsid w:val="5D465EE2"/>
    <w:rsid w:val="5D4B00DC"/>
    <w:rsid w:val="5D4F4FCA"/>
    <w:rsid w:val="5D6551E5"/>
    <w:rsid w:val="5D656588"/>
    <w:rsid w:val="5D6B5887"/>
    <w:rsid w:val="5D7940A7"/>
    <w:rsid w:val="5D7E2EA5"/>
    <w:rsid w:val="5D831324"/>
    <w:rsid w:val="5D862AE3"/>
    <w:rsid w:val="5D8B153B"/>
    <w:rsid w:val="5D912B7E"/>
    <w:rsid w:val="5D9333B6"/>
    <w:rsid w:val="5D946AAA"/>
    <w:rsid w:val="5DA43E5E"/>
    <w:rsid w:val="5DAE6A5D"/>
    <w:rsid w:val="5DCA28FB"/>
    <w:rsid w:val="5DCF360A"/>
    <w:rsid w:val="5DDB0E34"/>
    <w:rsid w:val="5DE632E3"/>
    <w:rsid w:val="5DE633F1"/>
    <w:rsid w:val="5DEC7C71"/>
    <w:rsid w:val="5DEE67B8"/>
    <w:rsid w:val="5DF541EF"/>
    <w:rsid w:val="5DF6431D"/>
    <w:rsid w:val="5DFB153A"/>
    <w:rsid w:val="5DFC4F6B"/>
    <w:rsid w:val="5E002F71"/>
    <w:rsid w:val="5E007512"/>
    <w:rsid w:val="5E011206"/>
    <w:rsid w:val="5E062BBC"/>
    <w:rsid w:val="5E0B2F4C"/>
    <w:rsid w:val="5E0D5667"/>
    <w:rsid w:val="5E122A2A"/>
    <w:rsid w:val="5E13314E"/>
    <w:rsid w:val="5E1512CC"/>
    <w:rsid w:val="5E166BEC"/>
    <w:rsid w:val="5E1A61DE"/>
    <w:rsid w:val="5E28153B"/>
    <w:rsid w:val="5E2C35F6"/>
    <w:rsid w:val="5E303FD3"/>
    <w:rsid w:val="5E461D71"/>
    <w:rsid w:val="5E484CB9"/>
    <w:rsid w:val="5E4A13F3"/>
    <w:rsid w:val="5E4D2703"/>
    <w:rsid w:val="5E56113D"/>
    <w:rsid w:val="5E684653"/>
    <w:rsid w:val="5E6A5244"/>
    <w:rsid w:val="5E8F4D69"/>
    <w:rsid w:val="5E9C4126"/>
    <w:rsid w:val="5EA71939"/>
    <w:rsid w:val="5EA80B14"/>
    <w:rsid w:val="5EAC7E10"/>
    <w:rsid w:val="5EAD44CF"/>
    <w:rsid w:val="5EAE1601"/>
    <w:rsid w:val="5EB31BD7"/>
    <w:rsid w:val="5EB67AAC"/>
    <w:rsid w:val="5EBD030A"/>
    <w:rsid w:val="5EBF6BC7"/>
    <w:rsid w:val="5EC46379"/>
    <w:rsid w:val="5EC73027"/>
    <w:rsid w:val="5ED73035"/>
    <w:rsid w:val="5EDC75FF"/>
    <w:rsid w:val="5EE048AC"/>
    <w:rsid w:val="5EEC1FC7"/>
    <w:rsid w:val="5EF93833"/>
    <w:rsid w:val="5F06093C"/>
    <w:rsid w:val="5F0A79BE"/>
    <w:rsid w:val="5F180CFD"/>
    <w:rsid w:val="5F2F1B65"/>
    <w:rsid w:val="5F39446E"/>
    <w:rsid w:val="5F3A0643"/>
    <w:rsid w:val="5F3E454F"/>
    <w:rsid w:val="5F447BD0"/>
    <w:rsid w:val="5F52717D"/>
    <w:rsid w:val="5F540EB5"/>
    <w:rsid w:val="5F612819"/>
    <w:rsid w:val="5F624559"/>
    <w:rsid w:val="5F6D12CB"/>
    <w:rsid w:val="5F7D0AD3"/>
    <w:rsid w:val="5F7FCBDE"/>
    <w:rsid w:val="5F874C85"/>
    <w:rsid w:val="5F8C2A55"/>
    <w:rsid w:val="5F986EED"/>
    <w:rsid w:val="5F9F1748"/>
    <w:rsid w:val="5FA7305A"/>
    <w:rsid w:val="5FAA372B"/>
    <w:rsid w:val="5FB34BEB"/>
    <w:rsid w:val="5FB37ABB"/>
    <w:rsid w:val="5FBD12D8"/>
    <w:rsid w:val="5FC12D7B"/>
    <w:rsid w:val="5FC45D09"/>
    <w:rsid w:val="5FC92768"/>
    <w:rsid w:val="5FE058BB"/>
    <w:rsid w:val="5FF55CE2"/>
    <w:rsid w:val="5FF60049"/>
    <w:rsid w:val="5FF954EB"/>
    <w:rsid w:val="5FFB42B0"/>
    <w:rsid w:val="5FFF6E5D"/>
    <w:rsid w:val="6005007F"/>
    <w:rsid w:val="6006710D"/>
    <w:rsid w:val="60104F22"/>
    <w:rsid w:val="601141CF"/>
    <w:rsid w:val="6019141D"/>
    <w:rsid w:val="602400B1"/>
    <w:rsid w:val="60297E2A"/>
    <w:rsid w:val="602E35F6"/>
    <w:rsid w:val="60371B72"/>
    <w:rsid w:val="6039040B"/>
    <w:rsid w:val="60406485"/>
    <w:rsid w:val="6044536B"/>
    <w:rsid w:val="604869A7"/>
    <w:rsid w:val="604F45CA"/>
    <w:rsid w:val="605150C6"/>
    <w:rsid w:val="60540C77"/>
    <w:rsid w:val="605F4C6B"/>
    <w:rsid w:val="606167EE"/>
    <w:rsid w:val="606625DC"/>
    <w:rsid w:val="60672E15"/>
    <w:rsid w:val="606C5959"/>
    <w:rsid w:val="606E48BC"/>
    <w:rsid w:val="606F1AED"/>
    <w:rsid w:val="607053E7"/>
    <w:rsid w:val="60720ECD"/>
    <w:rsid w:val="6095341E"/>
    <w:rsid w:val="60953565"/>
    <w:rsid w:val="609B77EE"/>
    <w:rsid w:val="609C059B"/>
    <w:rsid w:val="60AF3082"/>
    <w:rsid w:val="60B625DE"/>
    <w:rsid w:val="60B86DFE"/>
    <w:rsid w:val="60D4356D"/>
    <w:rsid w:val="60D94F31"/>
    <w:rsid w:val="60DE2549"/>
    <w:rsid w:val="60E256E9"/>
    <w:rsid w:val="60F2659E"/>
    <w:rsid w:val="60FD2917"/>
    <w:rsid w:val="60FD63DC"/>
    <w:rsid w:val="610A0803"/>
    <w:rsid w:val="610C4BEA"/>
    <w:rsid w:val="611677FB"/>
    <w:rsid w:val="61190ACA"/>
    <w:rsid w:val="61227D44"/>
    <w:rsid w:val="6129042C"/>
    <w:rsid w:val="61296476"/>
    <w:rsid w:val="613029EB"/>
    <w:rsid w:val="613767D1"/>
    <w:rsid w:val="61483C5E"/>
    <w:rsid w:val="614A73C9"/>
    <w:rsid w:val="614C08D6"/>
    <w:rsid w:val="615221B6"/>
    <w:rsid w:val="61593A18"/>
    <w:rsid w:val="61640A69"/>
    <w:rsid w:val="61641E24"/>
    <w:rsid w:val="61642900"/>
    <w:rsid w:val="61650B42"/>
    <w:rsid w:val="61713B66"/>
    <w:rsid w:val="617A77ED"/>
    <w:rsid w:val="61846DF0"/>
    <w:rsid w:val="61885BA4"/>
    <w:rsid w:val="61961BF4"/>
    <w:rsid w:val="619D5B8D"/>
    <w:rsid w:val="61B77EE1"/>
    <w:rsid w:val="61C01C0F"/>
    <w:rsid w:val="61C36BE4"/>
    <w:rsid w:val="61C51A08"/>
    <w:rsid w:val="61C62062"/>
    <w:rsid w:val="61C65B45"/>
    <w:rsid w:val="61CD5EFF"/>
    <w:rsid w:val="61D813E8"/>
    <w:rsid w:val="61D90A4F"/>
    <w:rsid w:val="61DB371B"/>
    <w:rsid w:val="61DC58C1"/>
    <w:rsid w:val="61E4315E"/>
    <w:rsid w:val="61E95206"/>
    <w:rsid w:val="62016B02"/>
    <w:rsid w:val="620C1772"/>
    <w:rsid w:val="6210720A"/>
    <w:rsid w:val="621D47BD"/>
    <w:rsid w:val="6223383B"/>
    <w:rsid w:val="622E37FA"/>
    <w:rsid w:val="622F30C0"/>
    <w:rsid w:val="622F73A7"/>
    <w:rsid w:val="623B1227"/>
    <w:rsid w:val="6240175D"/>
    <w:rsid w:val="624D5075"/>
    <w:rsid w:val="62504311"/>
    <w:rsid w:val="62525D1F"/>
    <w:rsid w:val="625774E6"/>
    <w:rsid w:val="625B1BCC"/>
    <w:rsid w:val="625B64AC"/>
    <w:rsid w:val="62662BA6"/>
    <w:rsid w:val="62697A2F"/>
    <w:rsid w:val="626F6A73"/>
    <w:rsid w:val="629364EC"/>
    <w:rsid w:val="62B1255F"/>
    <w:rsid w:val="62B4171B"/>
    <w:rsid w:val="62BB4C17"/>
    <w:rsid w:val="62BF13F2"/>
    <w:rsid w:val="62BF2B19"/>
    <w:rsid w:val="62C77542"/>
    <w:rsid w:val="62C947D8"/>
    <w:rsid w:val="62D577DC"/>
    <w:rsid w:val="62DD28A6"/>
    <w:rsid w:val="62EA11B3"/>
    <w:rsid w:val="62EB35DE"/>
    <w:rsid w:val="62F2234D"/>
    <w:rsid w:val="62FB3BE1"/>
    <w:rsid w:val="63085965"/>
    <w:rsid w:val="6316176F"/>
    <w:rsid w:val="63166BEE"/>
    <w:rsid w:val="63217613"/>
    <w:rsid w:val="63284C9B"/>
    <w:rsid w:val="632914FD"/>
    <w:rsid w:val="634E5E75"/>
    <w:rsid w:val="635506E9"/>
    <w:rsid w:val="635A7AD9"/>
    <w:rsid w:val="635D7313"/>
    <w:rsid w:val="63637395"/>
    <w:rsid w:val="63693A64"/>
    <w:rsid w:val="637319B4"/>
    <w:rsid w:val="637813C8"/>
    <w:rsid w:val="638331E1"/>
    <w:rsid w:val="638345BB"/>
    <w:rsid w:val="63881835"/>
    <w:rsid w:val="638A4556"/>
    <w:rsid w:val="638F7093"/>
    <w:rsid w:val="638F7920"/>
    <w:rsid w:val="63926B2D"/>
    <w:rsid w:val="63A228FE"/>
    <w:rsid w:val="63A24C52"/>
    <w:rsid w:val="63A83601"/>
    <w:rsid w:val="63C50D6B"/>
    <w:rsid w:val="63C515F9"/>
    <w:rsid w:val="63C8154A"/>
    <w:rsid w:val="63CA4AC2"/>
    <w:rsid w:val="63CB4694"/>
    <w:rsid w:val="63DC65E3"/>
    <w:rsid w:val="63E55D1F"/>
    <w:rsid w:val="63EA23D0"/>
    <w:rsid w:val="63FE1CD5"/>
    <w:rsid w:val="63FE2688"/>
    <w:rsid w:val="640A3F8A"/>
    <w:rsid w:val="641202F6"/>
    <w:rsid w:val="64144288"/>
    <w:rsid w:val="64211ABD"/>
    <w:rsid w:val="642B1535"/>
    <w:rsid w:val="64357203"/>
    <w:rsid w:val="64387B5D"/>
    <w:rsid w:val="644347C3"/>
    <w:rsid w:val="64493FBC"/>
    <w:rsid w:val="644A3129"/>
    <w:rsid w:val="644E368B"/>
    <w:rsid w:val="64584ED2"/>
    <w:rsid w:val="645B1D7F"/>
    <w:rsid w:val="6466777D"/>
    <w:rsid w:val="647E055D"/>
    <w:rsid w:val="648266AF"/>
    <w:rsid w:val="64922AE8"/>
    <w:rsid w:val="64A215E3"/>
    <w:rsid w:val="64A75597"/>
    <w:rsid w:val="64B7618F"/>
    <w:rsid w:val="64B801E7"/>
    <w:rsid w:val="64BF531D"/>
    <w:rsid w:val="64C00ABA"/>
    <w:rsid w:val="64C16185"/>
    <w:rsid w:val="64C611B3"/>
    <w:rsid w:val="64CA0B65"/>
    <w:rsid w:val="64CB076B"/>
    <w:rsid w:val="64CD6F48"/>
    <w:rsid w:val="64D24045"/>
    <w:rsid w:val="64DD3052"/>
    <w:rsid w:val="64DD34DF"/>
    <w:rsid w:val="64F25787"/>
    <w:rsid w:val="64F82572"/>
    <w:rsid w:val="64F93F70"/>
    <w:rsid w:val="64FA52C4"/>
    <w:rsid w:val="6505278A"/>
    <w:rsid w:val="650C301C"/>
    <w:rsid w:val="650E02CB"/>
    <w:rsid w:val="65141B71"/>
    <w:rsid w:val="65150FBA"/>
    <w:rsid w:val="65181B94"/>
    <w:rsid w:val="65234B8A"/>
    <w:rsid w:val="65311E1C"/>
    <w:rsid w:val="65320963"/>
    <w:rsid w:val="65332797"/>
    <w:rsid w:val="653C4996"/>
    <w:rsid w:val="65447EEE"/>
    <w:rsid w:val="654A5876"/>
    <w:rsid w:val="65510C9E"/>
    <w:rsid w:val="65564FB0"/>
    <w:rsid w:val="655B01C2"/>
    <w:rsid w:val="655E4F51"/>
    <w:rsid w:val="65663C30"/>
    <w:rsid w:val="657F5CD0"/>
    <w:rsid w:val="658340B4"/>
    <w:rsid w:val="658B2C90"/>
    <w:rsid w:val="658B7F07"/>
    <w:rsid w:val="658D6C37"/>
    <w:rsid w:val="65915997"/>
    <w:rsid w:val="65982E67"/>
    <w:rsid w:val="65A16C40"/>
    <w:rsid w:val="65A443FB"/>
    <w:rsid w:val="65AD1783"/>
    <w:rsid w:val="65B43757"/>
    <w:rsid w:val="65C35241"/>
    <w:rsid w:val="65CF12E2"/>
    <w:rsid w:val="65D42156"/>
    <w:rsid w:val="65D6059D"/>
    <w:rsid w:val="65DB0D81"/>
    <w:rsid w:val="65DB64E6"/>
    <w:rsid w:val="65E806C4"/>
    <w:rsid w:val="65EA751C"/>
    <w:rsid w:val="65F020FF"/>
    <w:rsid w:val="65F15106"/>
    <w:rsid w:val="65F74312"/>
    <w:rsid w:val="65F8008C"/>
    <w:rsid w:val="65FA3E7E"/>
    <w:rsid w:val="65FE55D8"/>
    <w:rsid w:val="65FF6A4A"/>
    <w:rsid w:val="6601035D"/>
    <w:rsid w:val="66066A02"/>
    <w:rsid w:val="6620004F"/>
    <w:rsid w:val="66213681"/>
    <w:rsid w:val="66213F56"/>
    <w:rsid w:val="662C3993"/>
    <w:rsid w:val="662D3172"/>
    <w:rsid w:val="663707C9"/>
    <w:rsid w:val="664A79FC"/>
    <w:rsid w:val="664B18CA"/>
    <w:rsid w:val="66514546"/>
    <w:rsid w:val="66580A7C"/>
    <w:rsid w:val="665B5EA7"/>
    <w:rsid w:val="666371F7"/>
    <w:rsid w:val="668C23DC"/>
    <w:rsid w:val="668E017E"/>
    <w:rsid w:val="669D4D78"/>
    <w:rsid w:val="66A24666"/>
    <w:rsid w:val="66B74B3D"/>
    <w:rsid w:val="66BC51F1"/>
    <w:rsid w:val="66C03D40"/>
    <w:rsid w:val="66C3317B"/>
    <w:rsid w:val="66CF182A"/>
    <w:rsid w:val="66D4236F"/>
    <w:rsid w:val="66D74FE4"/>
    <w:rsid w:val="66DC2EDA"/>
    <w:rsid w:val="66EA3B51"/>
    <w:rsid w:val="66F50D0A"/>
    <w:rsid w:val="66FF2D57"/>
    <w:rsid w:val="6703710C"/>
    <w:rsid w:val="670931E9"/>
    <w:rsid w:val="6713452D"/>
    <w:rsid w:val="6729313F"/>
    <w:rsid w:val="673C6198"/>
    <w:rsid w:val="67431CF2"/>
    <w:rsid w:val="67480AB1"/>
    <w:rsid w:val="674E3755"/>
    <w:rsid w:val="67541CF2"/>
    <w:rsid w:val="67576A15"/>
    <w:rsid w:val="67582D8B"/>
    <w:rsid w:val="675D007E"/>
    <w:rsid w:val="675D1EBF"/>
    <w:rsid w:val="675F7619"/>
    <w:rsid w:val="6763131C"/>
    <w:rsid w:val="676432A7"/>
    <w:rsid w:val="676A2C7D"/>
    <w:rsid w:val="67763A87"/>
    <w:rsid w:val="67795F4B"/>
    <w:rsid w:val="678E611F"/>
    <w:rsid w:val="67941DBD"/>
    <w:rsid w:val="679B7C99"/>
    <w:rsid w:val="679D1392"/>
    <w:rsid w:val="67A53104"/>
    <w:rsid w:val="67A763E1"/>
    <w:rsid w:val="67A81153"/>
    <w:rsid w:val="67AA00A1"/>
    <w:rsid w:val="67B27A86"/>
    <w:rsid w:val="67C56ED3"/>
    <w:rsid w:val="67C761B6"/>
    <w:rsid w:val="67C77B92"/>
    <w:rsid w:val="67D528EC"/>
    <w:rsid w:val="67D86DE8"/>
    <w:rsid w:val="67FB6262"/>
    <w:rsid w:val="680126A7"/>
    <w:rsid w:val="6809642C"/>
    <w:rsid w:val="680A4D24"/>
    <w:rsid w:val="681C14B3"/>
    <w:rsid w:val="681E098C"/>
    <w:rsid w:val="68263D54"/>
    <w:rsid w:val="683C3E89"/>
    <w:rsid w:val="68417CF6"/>
    <w:rsid w:val="684B4A2C"/>
    <w:rsid w:val="684E24FB"/>
    <w:rsid w:val="684F236D"/>
    <w:rsid w:val="68507B7F"/>
    <w:rsid w:val="685F7C5B"/>
    <w:rsid w:val="68620AE1"/>
    <w:rsid w:val="68643E32"/>
    <w:rsid w:val="686455B6"/>
    <w:rsid w:val="68675449"/>
    <w:rsid w:val="687725CB"/>
    <w:rsid w:val="68773867"/>
    <w:rsid w:val="68783884"/>
    <w:rsid w:val="6882486D"/>
    <w:rsid w:val="689401BD"/>
    <w:rsid w:val="68943E37"/>
    <w:rsid w:val="68A7414C"/>
    <w:rsid w:val="68B34DFC"/>
    <w:rsid w:val="68BA1059"/>
    <w:rsid w:val="68CA2F1C"/>
    <w:rsid w:val="68CE1CEB"/>
    <w:rsid w:val="68D82591"/>
    <w:rsid w:val="68DA70F7"/>
    <w:rsid w:val="68E334AF"/>
    <w:rsid w:val="68E70C80"/>
    <w:rsid w:val="68EA13D2"/>
    <w:rsid w:val="68EE1020"/>
    <w:rsid w:val="68F07B09"/>
    <w:rsid w:val="68F30503"/>
    <w:rsid w:val="68F529DD"/>
    <w:rsid w:val="68F61850"/>
    <w:rsid w:val="68FE7254"/>
    <w:rsid w:val="690442F2"/>
    <w:rsid w:val="690A2538"/>
    <w:rsid w:val="690A281D"/>
    <w:rsid w:val="690C4971"/>
    <w:rsid w:val="6910302D"/>
    <w:rsid w:val="69151AD4"/>
    <w:rsid w:val="692236F8"/>
    <w:rsid w:val="692C4E5F"/>
    <w:rsid w:val="692D5211"/>
    <w:rsid w:val="69337913"/>
    <w:rsid w:val="69384B32"/>
    <w:rsid w:val="693A51A9"/>
    <w:rsid w:val="693D48FB"/>
    <w:rsid w:val="6941668E"/>
    <w:rsid w:val="69522FF5"/>
    <w:rsid w:val="695A2E9B"/>
    <w:rsid w:val="695D14E2"/>
    <w:rsid w:val="695E7A27"/>
    <w:rsid w:val="69605FA5"/>
    <w:rsid w:val="696068CD"/>
    <w:rsid w:val="6960718C"/>
    <w:rsid w:val="696637BA"/>
    <w:rsid w:val="69747A90"/>
    <w:rsid w:val="697635C2"/>
    <w:rsid w:val="69892B9F"/>
    <w:rsid w:val="69895F9C"/>
    <w:rsid w:val="69946EA4"/>
    <w:rsid w:val="69A35B74"/>
    <w:rsid w:val="69AD0220"/>
    <w:rsid w:val="69B13308"/>
    <w:rsid w:val="69B54960"/>
    <w:rsid w:val="69BC6335"/>
    <w:rsid w:val="69BD271F"/>
    <w:rsid w:val="69C8681A"/>
    <w:rsid w:val="69D36C88"/>
    <w:rsid w:val="69D80AB8"/>
    <w:rsid w:val="69EA5A62"/>
    <w:rsid w:val="69ED2861"/>
    <w:rsid w:val="69F34063"/>
    <w:rsid w:val="69F37232"/>
    <w:rsid w:val="6A07523D"/>
    <w:rsid w:val="6A0D490C"/>
    <w:rsid w:val="6A113936"/>
    <w:rsid w:val="6A166452"/>
    <w:rsid w:val="6A1B53A5"/>
    <w:rsid w:val="6A23076D"/>
    <w:rsid w:val="6A283480"/>
    <w:rsid w:val="6A286459"/>
    <w:rsid w:val="6A317175"/>
    <w:rsid w:val="6A3875EC"/>
    <w:rsid w:val="6A3A6F66"/>
    <w:rsid w:val="6A402D3E"/>
    <w:rsid w:val="6A540EA9"/>
    <w:rsid w:val="6A547FFE"/>
    <w:rsid w:val="6A5678C4"/>
    <w:rsid w:val="6A5839BE"/>
    <w:rsid w:val="6A610E6B"/>
    <w:rsid w:val="6A69022C"/>
    <w:rsid w:val="6A6E3C44"/>
    <w:rsid w:val="6A8E0427"/>
    <w:rsid w:val="6A8F696B"/>
    <w:rsid w:val="6A905818"/>
    <w:rsid w:val="6A9E6273"/>
    <w:rsid w:val="6AA26D86"/>
    <w:rsid w:val="6AA5783A"/>
    <w:rsid w:val="6AA74EB6"/>
    <w:rsid w:val="6ABE608E"/>
    <w:rsid w:val="6AC316BE"/>
    <w:rsid w:val="6AC42E03"/>
    <w:rsid w:val="6AC50D6B"/>
    <w:rsid w:val="6AC617BA"/>
    <w:rsid w:val="6AC97426"/>
    <w:rsid w:val="6ADD2587"/>
    <w:rsid w:val="6ADE3B77"/>
    <w:rsid w:val="6AE050B0"/>
    <w:rsid w:val="6AEA746A"/>
    <w:rsid w:val="6AF51DA9"/>
    <w:rsid w:val="6B025CB9"/>
    <w:rsid w:val="6B1A6E70"/>
    <w:rsid w:val="6B335A6F"/>
    <w:rsid w:val="6B4001D8"/>
    <w:rsid w:val="6B4B789A"/>
    <w:rsid w:val="6B5C0201"/>
    <w:rsid w:val="6B5C7F80"/>
    <w:rsid w:val="6B7068CA"/>
    <w:rsid w:val="6B9213B6"/>
    <w:rsid w:val="6B98141C"/>
    <w:rsid w:val="6B981966"/>
    <w:rsid w:val="6B9D0881"/>
    <w:rsid w:val="6BA84DC7"/>
    <w:rsid w:val="6BAF308F"/>
    <w:rsid w:val="6BB056D7"/>
    <w:rsid w:val="6BBE626D"/>
    <w:rsid w:val="6BBF4E4A"/>
    <w:rsid w:val="6BCE0316"/>
    <w:rsid w:val="6BD65A8F"/>
    <w:rsid w:val="6BDB20AA"/>
    <w:rsid w:val="6BEB3983"/>
    <w:rsid w:val="6BEC0077"/>
    <w:rsid w:val="6BEE12D2"/>
    <w:rsid w:val="6BF35036"/>
    <w:rsid w:val="6BF36620"/>
    <w:rsid w:val="6BF6767E"/>
    <w:rsid w:val="6BF74C68"/>
    <w:rsid w:val="6BF85BC3"/>
    <w:rsid w:val="6C10306C"/>
    <w:rsid w:val="6C1D2F6D"/>
    <w:rsid w:val="6C2C13C9"/>
    <w:rsid w:val="6C36725B"/>
    <w:rsid w:val="6C3C05BA"/>
    <w:rsid w:val="6C4754BA"/>
    <w:rsid w:val="6C511613"/>
    <w:rsid w:val="6C52186C"/>
    <w:rsid w:val="6C52667A"/>
    <w:rsid w:val="6C5A123B"/>
    <w:rsid w:val="6C5E0A8F"/>
    <w:rsid w:val="6C615356"/>
    <w:rsid w:val="6C6D6CE8"/>
    <w:rsid w:val="6C73573D"/>
    <w:rsid w:val="6C7610FB"/>
    <w:rsid w:val="6C79089E"/>
    <w:rsid w:val="6C7D17C5"/>
    <w:rsid w:val="6C877000"/>
    <w:rsid w:val="6C8A5DDB"/>
    <w:rsid w:val="6C8D483A"/>
    <w:rsid w:val="6C8E15E6"/>
    <w:rsid w:val="6C8E36C6"/>
    <w:rsid w:val="6C944D80"/>
    <w:rsid w:val="6CA42947"/>
    <w:rsid w:val="6CA95062"/>
    <w:rsid w:val="6CAD41A6"/>
    <w:rsid w:val="6CB6008B"/>
    <w:rsid w:val="6CB8107C"/>
    <w:rsid w:val="6CB92A6E"/>
    <w:rsid w:val="6CBC0C24"/>
    <w:rsid w:val="6CC3121A"/>
    <w:rsid w:val="6CC351C9"/>
    <w:rsid w:val="6CC57952"/>
    <w:rsid w:val="6CD14152"/>
    <w:rsid w:val="6CDE218F"/>
    <w:rsid w:val="6CE14FCA"/>
    <w:rsid w:val="6CE86D32"/>
    <w:rsid w:val="6CE93055"/>
    <w:rsid w:val="6CF13E88"/>
    <w:rsid w:val="6CF748EF"/>
    <w:rsid w:val="6D00350E"/>
    <w:rsid w:val="6D033D76"/>
    <w:rsid w:val="6D090A9F"/>
    <w:rsid w:val="6D0B57E4"/>
    <w:rsid w:val="6D147398"/>
    <w:rsid w:val="6D2A2295"/>
    <w:rsid w:val="6D357DAD"/>
    <w:rsid w:val="6D382B4B"/>
    <w:rsid w:val="6D397013"/>
    <w:rsid w:val="6D3F18F9"/>
    <w:rsid w:val="6D437A01"/>
    <w:rsid w:val="6D4F7A8C"/>
    <w:rsid w:val="6D507321"/>
    <w:rsid w:val="6D5E6EB5"/>
    <w:rsid w:val="6D5F08F7"/>
    <w:rsid w:val="6D706637"/>
    <w:rsid w:val="6D7C46A4"/>
    <w:rsid w:val="6D7F4385"/>
    <w:rsid w:val="6D806BB4"/>
    <w:rsid w:val="6D81199B"/>
    <w:rsid w:val="6D82096F"/>
    <w:rsid w:val="6D8358F3"/>
    <w:rsid w:val="6D851893"/>
    <w:rsid w:val="6D872074"/>
    <w:rsid w:val="6D892B9A"/>
    <w:rsid w:val="6D8C09E6"/>
    <w:rsid w:val="6D8D174F"/>
    <w:rsid w:val="6D923CC4"/>
    <w:rsid w:val="6D93538E"/>
    <w:rsid w:val="6D965AA2"/>
    <w:rsid w:val="6D965ADF"/>
    <w:rsid w:val="6D9F5060"/>
    <w:rsid w:val="6DA752E0"/>
    <w:rsid w:val="6DAE33DC"/>
    <w:rsid w:val="6DB3684A"/>
    <w:rsid w:val="6DBC7BD0"/>
    <w:rsid w:val="6DC36E2F"/>
    <w:rsid w:val="6DC439EF"/>
    <w:rsid w:val="6DC52EC4"/>
    <w:rsid w:val="6DC779B3"/>
    <w:rsid w:val="6DD261E6"/>
    <w:rsid w:val="6DE231DF"/>
    <w:rsid w:val="6DE54A07"/>
    <w:rsid w:val="6DE74CC7"/>
    <w:rsid w:val="6DEC6914"/>
    <w:rsid w:val="6DFD371A"/>
    <w:rsid w:val="6DFD6CAA"/>
    <w:rsid w:val="6DFE4F66"/>
    <w:rsid w:val="6E021EE7"/>
    <w:rsid w:val="6E06213B"/>
    <w:rsid w:val="6E07536B"/>
    <w:rsid w:val="6E185451"/>
    <w:rsid w:val="6E3725D0"/>
    <w:rsid w:val="6E3B2164"/>
    <w:rsid w:val="6E412EB7"/>
    <w:rsid w:val="6E4156EA"/>
    <w:rsid w:val="6E522BEC"/>
    <w:rsid w:val="6E531703"/>
    <w:rsid w:val="6E5759D3"/>
    <w:rsid w:val="6E5816A4"/>
    <w:rsid w:val="6E582ECA"/>
    <w:rsid w:val="6E5A4164"/>
    <w:rsid w:val="6E603290"/>
    <w:rsid w:val="6E6356ED"/>
    <w:rsid w:val="6E652F19"/>
    <w:rsid w:val="6E68362E"/>
    <w:rsid w:val="6E6A422B"/>
    <w:rsid w:val="6E7770A0"/>
    <w:rsid w:val="6E8962B2"/>
    <w:rsid w:val="6E8A64E5"/>
    <w:rsid w:val="6E97737A"/>
    <w:rsid w:val="6EAC7EB2"/>
    <w:rsid w:val="6EB60F66"/>
    <w:rsid w:val="6EB677D2"/>
    <w:rsid w:val="6EC6741F"/>
    <w:rsid w:val="6ECA7D04"/>
    <w:rsid w:val="6ECC0CB0"/>
    <w:rsid w:val="6ECC7C02"/>
    <w:rsid w:val="6EDB767F"/>
    <w:rsid w:val="6EE35937"/>
    <w:rsid w:val="6EE7436A"/>
    <w:rsid w:val="6EE976CE"/>
    <w:rsid w:val="6EFB722B"/>
    <w:rsid w:val="6EFE4901"/>
    <w:rsid w:val="6F001DAE"/>
    <w:rsid w:val="6F1028D3"/>
    <w:rsid w:val="6F1265B5"/>
    <w:rsid w:val="6F166D8E"/>
    <w:rsid w:val="6F174D30"/>
    <w:rsid w:val="6F185D0E"/>
    <w:rsid w:val="6F1F5AB4"/>
    <w:rsid w:val="6F2B2964"/>
    <w:rsid w:val="6F315A72"/>
    <w:rsid w:val="6F383B44"/>
    <w:rsid w:val="6F3D6921"/>
    <w:rsid w:val="6F483851"/>
    <w:rsid w:val="6F487B05"/>
    <w:rsid w:val="6F4B04D0"/>
    <w:rsid w:val="6F517572"/>
    <w:rsid w:val="6F5A07A4"/>
    <w:rsid w:val="6F694EE6"/>
    <w:rsid w:val="6F6C3CD9"/>
    <w:rsid w:val="6F720F0D"/>
    <w:rsid w:val="6F757E5E"/>
    <w:rsid w:val="6F7A75F9"/>
    <w:rsid w:val="6F7D6877"/>
    <w:rsid w:val="6F8948D2"/>
    <w:rsid w:val="6F8C1A32"/>
    <w:rsid w:val="6F9A1788"/>
    <w:rsid w:val="6F9E2F21"/>
    <w:rsid w:val="6FAF50D1"/>
    <w:rsid w:val="6FBB08F5"/>
    <w:rsid w:val="6FBB2059"/>
    <w:rsid w:val="6FBD38F5"/>
    <w:rsid w:val="6FC04A5F"/>
    <w:rsid w:val="6FC727C8"/>
    <w:rsid w:val="6FDE7357"/>
    <w:rsid w:val="6FED0E1E"/>
    <w:rsid w:val="6FFC60BD"/>
    <w:rsid w:val="700109B2"/>
    <w:rsid w:val="7001155F"/>
    <w:rsid w:val="700D1926"/>
    <w:rsid w:val="70116A71"/>
    <w:rsid w:val="70157B4C"/>
    <w:rsid w:val="70161017"/>
    <w:rsid w:val="701E5D11"/>
    <w:rsid w:val="701F0A49"/>
    <w:rsid w:val="70204033"/>
    <w:rsid w:val="7021152C"/>
    <w:rsid w:val="702A7013"/>
    <w:rsid w:val="70325442"/>
    <w:rsid w:val="70370AF1"/>
    <w:rsid w:val="703B296F"/>
    <w:rsid w:val="703F2606"/>
    <w:rsid w:val="703F7037"/>
    <w:rsid w:val="704340AA"/>
    <w:rsid w:val="704E5A03"/>
    <w:rsid w:val="705738B5"/>
    <w:rsid w:val="705A3961"/>
    <w:rsid w:val="705B6295"/>
    <w:rsid w:val="705F484D"/>
    <w:rsid w:val="706653C8"/>
    <w:rsid w:val="707538A6"/>
    <w:rsid w:val="7079486D"/>
    <w:rsid w:val="70810B6A"/>
    <w:rsid w:val="70815E45"/>
    <w:rsid w:val="70904C80"/>
    <w:rsid w:val="70906E65"/>
    <w:rsid w:val="70915EFE"/>
    <w:rsid w:val="70974A86"/>
    <w:rsid w:val="70997A0B"/>
    <w:rsid w:val="709D2E78"/>
    <w:rsid w:val="709E3A3E"/>
    <w:rsid w:val="70A24249"/>
    <w:rsid w:val="70AD0A8F"/>
    <w:rsid w:val="70B6234F"/>
    <w:rsid w:val="70BC0420"/>
    <w:rsid w:val="70BC2152"/>
    <w:rsid w:val="70C87667"/>
    <w:rsid w:val="70CC325D"/>
    <w:rsid w:val="70CE3390"/>
    <w:rsid w:val="70D3027F"/>
    <w:rsid w:val="70DC51EA"/>
    <w:rsid w:val="70FD7844"/>
    <w:rsid w:val="70FE7A28"/>
    <w:rsid w:val="710A1236"/>
    <w:rsid w:val="710C4F99"/>
    <w:rsid w:val="710F0C16"/>
    <w:rsid w:val="710F5749"/>
    <w:rsid w:val="7117031C"/>
    <w:rsid w:val="711A5F44"/>
    <w:rsid w:val="711F6E2B"/>
    <w:rsid w:val="7128124B"/>
    <w:rsid w:val="712822EC"/>
    <w:rsid w:val="713474E0"/>
    <w:rsid w:val="7137360B"/>
    <w:rsid w:val="71440684"/>
    <w:rsid w:val="714A5A5E"/>
    <w:rsid w:val="71515B3F"/>
    <w:rsid w:val="7153358F"/>
    <w:rsid w:val="71551A19"/>
    <w:rsid w:val="715778F0"/>
    <w:rsid w:val="7158154A"/>
    <w:rsid w:val="716005D8"/>
    <w:rsid w:val="716239BA"/>
    <w:rsid w:val="71774B6E"/>
    <w:rsid w:val="71796F8F"/>
    <w:rsid w:val="717B191B"/>
    <w:rsid w:val="71804087"/>
    <w:rsid w:val="71833383"/>
    <w:rsid w:val="71844CB4"/>
    <w:rsid w:val="71845C0B"/>
    <w:rsid w:val="7185562A"/>
    <w:rsid w:val="71872B69"/>
    <w:rsid w:val="71885794"/>
    <w:rsid w:val="718F71AC"/>
    <w:rsid w:val="719311C6"/>
    <w:rsid w:val="71952E54"/>
    <w:rsid w:val="71A5599C"/>
    <w:rsid w:val="71AA669A"/>
    <w:rsid w:val="71AE74DF"/>
    <w:rsid w:val="71B46749"/>
    <w:rsid w:val="71B811E6"/>
    <w:rsid w:val="71B90E07"/>
    <w:rsid w:val="71BB10AE"/>
    <w:rsid w:val="71BF563E"/>
    <w:rsid w:val="71C006E9"/>
    <w:rsid w:val="71C11E32"/>
    <w:rsid w:val="71C17710"/>
    <w:rsid w:val="71C33143"/>
    <w:rsid w:val="71C47592"/>
    <w:rsid w:val="71CC331B"/>
    <w:rsid w:val="71D731B0"/>
    <w:rsid w:val="71DA41B0"/>
    <w:rsid w:val="71DA5C9F"/>
    <w:rsid w:val="71F023F9"/>
    <w:rsid w:val="71FE5B92"/>
    <w:rsid w:val="72040A04"/>
    <w:rsid w:val="720B3679"/>
    <w:rsid w:val="72150211"/>
    <w:rsid w:val="7217576B"/>
    <w:rsid w:val="721E7688"/>
    <w:rsid w:val="721F785A"/>
    <w:rsid w:val="72261083"/>
    <w:rsid w:val="72393208"/>
    <w:rsid w:val="723A0CCC"/>
    <w:rsid w:val="723C6DB1"/>
    <w:rsid w:val="723F0A8A"/>
    <w:rsid w:val="72425833"/>
    <w:rsid w:val="72460C94"/>
    <w:rsid w:val="72496482"/>
    <w:rsid w:val="72546083"/>
    <w:rsid w:val="725C1AC0"/>
    <w:rsid w:val="72660416"/>
    <w:rsid w:val="72665555"/>
    <w:rsid w:val="726674B3"/>
    <w:rsid w:val="726B5044"/>
    <w:rsid w:val="726F62B9"/>
    <w:rsid w:val="72747331"/>
    <w:rsid w:val="727C7239"/>
    <w:rsid w:val="728162C0"/>
    <w:rsid w:val="72853A15"/>
    <w:rsid w:val="72891FE8"/>
    <w:rsid w:val="729148F0"/>
    <w:rsid w:val="729928B4"/>
    <w:rsid w:val="729E0E80"/>
    <w:rsid w:val="729F42C1"/>
    <w:rsid w:val="72A22B06"/>
    <w:rsid w:val="72A24695"/>
    <w:rsid w:val="72A25987"/>
    <w:rsid w:val="72AC3EC0"/>
    <w:rsid w:val="72B009A5"/>
    <w:rsid w:val="72B87ECD"/>
    <w:rsid w:val="72BA1FF2"/>
    <w:rsid w:val="72BC6F5B"/>
    <w:rsid w:val="72C025E3"/>
    <w:rsid w:val="72CE6880"/>
    <w:rsid w:val="72D20B51"/>
    <w:rsid w:val="72D3262B"/>
    <w:rsid w:val="72DD4E0A"/>
    <w:rsid w:val="72E90530"/>
    <w:rsid w:val="72F67839"/>
    <w:rsid w:val="7308133D"/>
    <w:rsid w:val="7316725A"/>
    <w:rsid w:val="73183D81"/>
    <w:rsid w:val="73255B1A"/>
    <w:rsid w:val="73274C5C"/>
    <w:rsid w:val="73293B3F"/>
    <w:rsid w:val="732A51CD"/>
    <w:rsid w:val="732B5D78"/>
    <w:rsid w:val="732D5021"/>
    <w:rsid w:val="73311A51"/>
    <w:rsid w:val="73392CA1"/>
    <w:rsid w:val="73397F12"/>
    <w:rsid w:val="733E633F"/>
    <w:rsid w:val="733E67DF"/>
    <w:rsid w:val="73473C65"/>
    <w:rsid w:val="7348294B"/>
    <w:rsid w:val="73534926"/>
    <w:rsid w:val="735566F4"/>
    <w:rsid w:val="73655F1B"/>
    <w:rsid w:val="73665D57"/>
    <w:rsid w:val="736B6085"/>
    <w:rsid w:val="73750DD8"/>
    <w:rsid w:val="73757454"/>
    <w:rsid w:val="73790A7B"/>
    <w:rsid w:val="737A12E6"/>
    <w:rsid w:val="737B59E7"/>
    <w:rsid w:val="737E13FF"/>
    <w:rsid w:val="7384291A"/>
    <w:rsid w:val="738D7E57"/>
    <w:rsid w:val="73905CF4"/>
    <w:rsid w:val="73A62413"/>
    <w:rsid w:val="73B03D60"/>
    <w:rsid w:val="73D402D9"/>
    <w:rsid w:val="73DF0A08"/>
    <w:rsid w:val="73E70719"/>
    <w:rsid w:val="73F454CE"/>
    <w:rsid w:val="73F76481"/>
    <w:rsid w:val="73F76BCB"/>
    <w:rsid w:val="73F870D7"/>
    <w:rsid w:val="73FD37C1"/>
    <w:rsid w:val="73FE48F7"/>
    <w:rsid w:val="73FF4183"/>
    <w:rsid w:val="740E1A9E"/>
    <w:rsid w:val="7413464A"/>
    <w:rsid w:val="74174093"/>
    <w:rsid w:val="741B42F5"/>
    <w:rsid w:val="741C6452"/>
    <w:rsid w:val="7424229F"/>
    <w:rsid w:val="742E2CD7"/>
    <w:rsid w:val="74323BAC"/>
    <w:rsid w:val="74365E8E"/>
    <w:rsid w:val="743721D5"/>
    <w:rsid w:val="743A2E79"/>
    <w:rsid w:val="743D0205"/>
    <w:rsid w:val="743D36D8"/>
    <w:rsid w:val="74412663"/>
    <w:rsid w:val="7444468D"/>
    <w:rsid w:val="744A3837"/>
    <w:rsid w:val="744E16AD"/>
    <w:rsid w:val="7457125B"/>
    <w:rsid w:val="747F3350"/>
    <w:rsid w:val="7484276E"/>
    <w:rsid w:val="74865A04"/>
    <w:rsid w:val="748748A2"/>
    <w:rsid w:val="74883014"/>
    <w:rsid w:val="74A22113"/>
    <w:rsid w:val="74A75AE0"/>
    <w:rsid w:val="74AC7520"/>
    <w:rsid w:val="74AE0BC4"/>
    <w:rsid w:val="74AE7C67"/>
    <w:rsid w:val="74BE04A7"/>
    <w:rsid w:val="74BF151F"/>
    <w:rsid w:val="74C046AC"/>
    <w:rsid w:val="74C304BF"/>
    <w:rsid w:val="74C87FB4"/>
    <w:rsid w:val="74C92F18"/>
    <w:rsid w:val="74C966A0"/>
    <w:rsid w:val="74CB7528"/>
    <w:rsid w:val="74DB515D"/>
    <w:rsid w:val="74DD3C53"/>
    <w:rsid w:val="74DF4727"/>
    <w:rsid w:val="74E07BDC"/>
    <w:rsid w:val="74E369D1"/>
    <w:rsid w:val="74F26428"/>
    <w:rsid w:val="74F7498B"/>
    <w:rsid w:val="74F942AD"/>
    <w:rsid w:val="750E48EB"/>
    <w:rsid w:val="750F6813"/>
    <w:rsid w:val="751526BD"/>
    <w:rsid w:val="751A0BF7"/>
    <w:rsid w:val="751C76B7"/>
    <w:rsid w:val="75224D7C"/>
    <w:rsid w:val="752D69A8"/>
    <w:rsid w:val="753076C1"/>
    <w:rsid w:val="75307FCE"/>
    <w:rsid w:val="753331DA"/>
    <w:rsid w:val="75356278"/>
    <w:rsid w:val="75441926"/>
    <w:rsid w:val="754534A7"/>
    <w:rsid w:val="75494D29"/>
    <w:rsid w:val="754A186D"/>
    <w:rsid w:val="754E6B58"/>
    <w:rsid w:val="754E7D77"/>
    <w:rsid w:val="755F1308"/>
    <w:rsid w:val="75651FBB"/>
    <w:rsid w:val="75783904"/>
    <w:rsid w:val="75897773"/>
    <w:rsid w:val="758C58DE"/>
    <w:rsid w:val="758D324C"/>
    <w:rsid w:val="759314FE"/>
    <w:rsid w:val="759C5332"/>
    <w:rsid w:val="75A16F28"/>
    <w:rsid w:val="75A24186"/>
    <w:rsid w:val="75A74591"/>
    <w:rsid w:val="75B14E86"/>
    <w:rsid w:val="75B4042A"/>
    <w:rsid w:val="75B836F5"/>
    <w:rsid w:val="75BC7BA2"/>
    <w:rsid w:val="75CB54A0"/>
    <w:rsid w:val="75CC4DC1"/>
    <w:rsid w:val="75CE0DBF"/>
    <w:rsid w:val="75E87FC7"/>
    <w:rsid w:val="75EA52D0"/>
    <w:rsid w:val="75EA5FA7"/>
    <w:rsid w:val="75ED5A57"/>
    <w:rsid w:val="75EE32C3"/>
    <w:rsid w:val="75F7307D"/>
    <w:rsid w:val="75F95AE1"/>
    <w:rsid w:val="75FF6BC8"/>
    <w:rsid w:val="76003129"/>
    <w:rsid w:val="76040BE3"/>
    <w:rsid w:val="76065797"/>
    <w:rsid w:val="76116750"/>
    <w:rsid w:val="76125EBE"/>
    <w:rsid w:val="76154018"/>
    <w:rsid w:val="761A500B"/>
    <w:rsid w:val="7624316C"/>
    <w:rsid w:val="76365A34"/>
    <w:rsid w:val="76395C6A"/>
    <w:rsid w:val="763B577C"/>
    <w:rsid w:val="7641491D"/>
    <w:rsid w:val="76543DEF"/>
    <w:rsid w:val="76545008"/>
    <w:rsid w:val="76663144"/>
    <w:rsid w:val="766F17AE"/>
    <w:rsid w:val="76704A66"/>
    <w:rsid w:val="76716A19"/>
    <w:rsid w:val="76757503"/>
    <w:rsid w:val="7679298D"/>
    <w:rsid w:val="76BC16B8"/>
    <w:rsid w:val="76D2647A"/>
    <w:rsid w:val="76E114FD"/>
    <w:rsid w:val="76F033A6"/>
    <w:rsid w:val="76F06D5E"/>
    <w:rsid w:val="76F9279E"/>
    <w:rsid w:val="76FD087F"/>
    <w:rsid w:val="77086033"/>
    <w:rsid w:val="770A3A52"/>
    <w:rsid w:val="77193258"/>
    <w:rsid w:val="771A2196"/>
    <w:rsid w:val="772C0B9E"/>
    <w:rsid w:val="773036EC"/>
    <w:rsid w:val="773301AC"/>
    <w:rsid w:val="77336D26"/>
    <w:rsid w:val="774417CF"/>
    <w:rsid w:val="77455FBF"/>
    <w:rsid w:val="774B26CE"/>
    <w:rsid w:val="774E33E4"/>
    <w:rsid w:val="775B0499"/>
    <w:rsid w:val="775D40C2"/>
    <w:rsid w:val="775F7521"/>
    <w:rsid w:val="777D3C0A"/>
    <w:rsid w:val="77821EE1"/>
    <w:rsid w:val="778D36E2"/>
    <w:rsid w:val="77A154D4"/>
    <w:rsid w:val="77A96BF1"/>
    <w:rsid w:val="77AD38CA"/>
    <w:rsid w:val="77BA4F20"/>
    <w:rsid w:val="77BC6708"/>
    <w:rsid w:val="77C535B9"/>
    <w:rsid w:val="77D06FFD"/>
    <w:rsid w:val="77E03331"/>
    <w:rsid w:val="77EE2BCA"/>
    <w:rsid w:val="77F01BDE"/>
    <w:rsid w:val="77F55D65"/>
    <w:rsid w:val="77FA7A45"/>
    <w:rsid w:val="7807212C"/>
    <w:rsid w:val="780B2CC6"/>
    <w:rsid w:val="781B3CD1"/>
    <w:rsid w:val="782B075A"/>
    <w:rsid w:val="78322CF3"/>
    <w:rsid w:val="78380649"/>
    <w:rsid w:val="7838430B"/>
    <w:rsid w:val="78392B2B"/>
    <w:rsid w:val="783B5AAB"/>
    <w:rsid w:val="783C5E49"/>
    <w:rsid w:val="784D0AFD"/>
    <w:rsid w:val="7850776F"/>
    <w:rsid w:val="785617CE"/>
    <w:rsid w:val="78677486"/>
    <w:rsid w:val="786A2239"/>
    <w:rsid w:val="786B0DC9"/>
    <w:rsid w:val="787D0593"/>
    <w:rsid w:val="788A3E3C"/>
    <w:rsid w:val="788F5246"/>
    <w:rsid w:val="78902E5B"/>
    <w:rsid w:val="78903677"/>
    <w:rsid w:val="789149CC"/>
    <w:rsid w:val="789801D2"/>
    <w:rsid w:val="78A72FC4"/>
    <w:rsid w:val="78A875F7"/>
    <w:rsid w:val="78AB22C5"/>
    <w:rsid w:val="78AE7F20"/>
    <w:rsid w:val="78B13519"/>
    <w:rsid w:val="78BA2378"/>
    <w:rsid w:val="78C33236"/>
    <w:rsid w:val="78CA4ACD"/>
    <w:rsid w:val="78D17194"/>
    <w:rsid w:val="78D265A2"/>
    <w:rsid w:val="78D721EA"/>
    <w:rsid w:val="78DF4177"/>
    <w:rsid w:val="78E514AF"/>
    <w:rsid w:val="78E71463"/>
    <w:rsid w:val="790101B7"/>
    <w:rsid w:val="7901381F"/>
    <w:rsid w:val="7906733F"/>
    <w:rsid w:val="790954E9"/>
    <w:rsid w:val="790A68F6"/>
    <w:rsid w:val="790C5484"/>
    <w:rsid w:val="790E31A4"/>
    <w:rsid w:val="79120589"/>
    <w:rsid w:val="791D1447"/>
    <w:rsid w:val="792431F5"/>
    <w:rsid w:val="79262A2F"/>
    <w:rsid w:val="792A0C68"/>
    <w:rsid w:val="792E7159"/>
    <w:rsid w:val="793524B3"/>
    <w:rsid w:val="793B5A72"/>
    <w:rsid w:val="794C442B"/>
    <w:rsid w:val="795A5957"/>
    <w:rsid w:val="796B437B"/>
    <w:rsid w:val="796D6A8F"/>
    <w:rsid w:val="79720464"/>
    <w:rsid w:val="798A4C83"/>
    <w:rsid w:val="79997779"/>
    <w:rsid w:val="799A2AE7"/>
    <w:rsid w:val="799E260C"/>
    <w:rsid w:val="799F3BA8"/>
    <w:rsid w:val="79A613CE"/>
    <w:rsid w:val="79B314D0"/>
    <w:rsid w:val="79B637C2"/>
    <w:rsid w:val="79B656D8"/>
    <w:rsid w:val="79C7188F"/>
    <w:rsid w:val="79CA7529"/>
    <w:rsid w:val="79D7248C"/>
    <w:rsid w:val="79EE6425"/>
    <w:rsid w:val="79F82EAC"/>
    <w:rsid w:val="79FF5AFC"/>
    <w:rsid w:val="79FF69D9"/>
    <w:rsid w:val="7A032481"/>
    <w:rsid w:val="7A0629EF"/>
    <w:rsid w:val="7A0A417D"/>
    <w:rsid w:val="7A0D7F99"/>
    <w:rsid w:val="7A10061C"/>
    <w:rsid w:val="7A1C66A2"/>
    <w:rsid w:val="7A1E1388"/>
    <w:rsid w:val="7A260917"/>
    <w:rsid w:val="7A29130B"/>
    <w:rsid w:val="7A3923A7"/>
    <w:rsid w:val="7A3A6422"/>
    <w:rsid w:val="7A433E53"/>
    <w:rsid w:val="7A4B0C28"/>
    <w:rsid w:val="7A4B74E9"/>
    <w:rsid w:val="7A634537"/>
    <w:rsid w:val="7A634F68"/>
    <w:rsid w:val="7A657DCE"/>
    <w:rsid w:val="7A722A71"/>
    <w:rsid w:val="7A7A58D8"/>
    <w:rsid w:val="7A7B7E8D"/>
    <w:rsid w:val="7A7F0F4C"/>
    <w:rsid w:val="7A7F1590"/>
    <w:rsid w:val="7A8B5A62"/>
    <w:rsid w:val="7A943A93"/>
    <w:rsid w:val="7A982449"/>
    <w:rsid w:val="7A9958F7"/>
    <w:rsid w:val="7A9B0351"/>
    <w:rsid w:val="7AA779CF"/>
    <w:rsid w:val="7AB10BAF"/>
    <w:rsid w:val="7AB14A7E"/>
    <w:rsid w:val="7AB4776D"/>
    <w:rsid w:val="7ABC0234"/>
    <w:rsid w:val="7ABC10A8"/>
    <w:rsid w:val="7ABC354A"/>
    <w:rsid w:val="7ABC70BF"/>
    <w:rsid w:val="7ACD4E7C"/>
    <w:rsid w:val="7ACE2AB8"/>
    <w:rsid w:val="7ACE6B7F"/>
    <w:rsid w:val="7AD12490"/>
    <w:rsid w:val="7ADC3760"/>
    <w:rsid w:val="7ADF7AED"/>
    <w:rsid w:val="7AEA6A0D"/>
    <w:rsid w:val="7AF202D4"/>
    <w:rsid w:val="7AF62BA3"/>
    <w:rsid w:val="7AF65BCD"/>
    <w:rsid w:val="7AFB68B8"/>
    <w:rsid w:val="7AFE2CC3"/>
    <w:rsid w:val="7B04121C"/>
    <w:rsid w:val="7B0A772C"/>
    <w:rsid w:val="7B0E4913"/>
    <w:rsid w:val="7B120E58"/>
    <w:rsid w:val="7B165F42"/>
    <w:rsid w:val="7B166CA8"/>
    <w:rsid w:val="7B1F1811"/>
    <w:rsid w:val="7B213E7C"/>
    <w:rsid w:val="7B216082"/>
    <w:rsid w:val="7B2359E0"/>
    <w:rsid w:val="7B2F612F"/>
    <w:rsid w:val="7B38706F"/>
    <w:rsid w:val="7B477FB7"/>
    <w:rsid w:val="7B553082"/>
    <w:rsid w:val="7B6474B8"/>
    <w:rsid w:val="7B650CC4"/>
    <w:rsid w:val="7B833DD3"/>
    <w:rsid w:val="7B8B30CF"/>
    <w:rsid w:val="7B8C0689"/>
    <w:rsid w:val="7B8E0A2F"/>
    <w:rsid w:val="7B8F0C53"/>
    <w:rsid w:val="7BA56F5D"/>
    <w:rsid w:val="7BAA6639"/>
    <w:rsid w:val="7BDD6F4B"/>
    <w:rsid w:val="7BE12170"/>
    <w:rsid w:val="7BE45E1E"/>
    <w:rsid w:val="7BE86164"/>
    <w:rsid w:val="7BEC03D2"/>
    <w:rsid w:val="7BEF5A64"/>
    <w:rsid w:val="7C02226F"/>
    <w:rsid w:val="7C0E1AEF"/>
    <w:rsid w:val="7C0F374E"/>
    <w:rsid w:val="7C101786"/>
    <w:rsid w:val="7C1243B2"/>
    <w:rsid w:val="7C156918"/>
    <w:rsid w:val="7C1845B2"/>
    <w:rsid w:val="7C207143"/>
    <w:rsid w:val="7C22199D"/>
    <w:rsid w:val="7C227D4F"/>
    <w:rsid w:val="7C2B532E"/>
    <w:rsid w:val="7C3D3000"/>
    <w:rsid w:val="7C3D451C"/>
    <w:rsid w:val="7C41609E"/>
    <w:rsid w:val="7C436DE9"/>
    <w:rsid w:val="7C45571F"/>
    <w:rsid w:val="7C566915"/>
    <w:rsid w:val="7C5A511B"/>
    <w:rsid w:val="7C6303AF"/>
    <w:rsid w:val="7C640D86"/>
    <w:rsid w:val="7C662276"/>
    <w:rsid w:val="7C6F2CC9"/>
    <w:rsid w:val="7C710314"/>
    <w:rsid w:val="7C73162B"/>
    <w:rsid w:val="7C7F2AFC"/>
    <w:rsid w:val="7C8C7414"/>
    <w:rsid w:val="7C8E4507"/>
    <w:rsid w:val="7C941A4E"/>
    <w:rsid w:val="7C9B6993"/>
    <w:rsid w:val="7C9D40EA"/>
    <w:rsid w:val="7CAD7A1D"/>
    <w:rsid w:val="7CB63085"/>
    <w:rsid w:val="7CC54223"/>
    <w:rsid w:val="7CD1746B"/>
    <w:rsid w:val="7CDA3679"/>
    <w:rsid w:val="7CDC2261"/>
    <w:rsid w:val="7D0D69B2"/>
    <w:rsid w:val="7D100811"/>
    <w:rsid w:val="7D176269"/>
    <w:rsid w:val="7D256B51"/>
    <w:rsid w:val="7D2579D0"/>
    <w:rsid w:val="7D2B7F26"/>
    <w:rsid w:val="7D3B4922"/>
    <w:rsid w:val="7D415CAF"/>
    <w:rsid w:val="7D445532"/>
    <w:rsid w:val="7D5F69BC"/>
    <w:rsid w:val="7D65476B"/>
    <w:rsid w:val="7D687E80"/>
    <w:rsid w:val="7D7162EA"/>
    <w:rsid w:val="7D747E6F"/>
    <w:rsid w:val="7D7947A7"/>
    <w:rsid w:val="7D883265"/>
    <w:rsid w:val="7D9362E0"/>
    <w:rsid w:val="7D985C08"/>
    <w:rsid w:val="7DA03DAC"/>
    <w:rsid w:val="7DA47F62"/>
    <w:rsid w:val="7DA576F5"/>
    <w:rsid w:val="7DA675C4"/>
    <w:rsid w:val="7DB43BC3"/>
    <w:rsid w:val="7DD02B68"/>
    <w:rsid w:val="7DE13D7B"/>
    <w:rsid w:val="7DE82E79"/>
    <w:rsid w:val="7DE87465"/>
    <w:rsid w:val="7DEF7C36"/>
    <w:rsid w:val="7DF10BBE"/>
    <w:rsid w:val="7DFC2DA6"/>
    <w:rsid w:val="7DFC7764"/>
    <w:rsid w:val="7E146A0A"/>
    <w:rsid w:val="7E157066"/>
    <w:rsid w:val="7E162D41"/>
    <w:rsid w:val="7E1E2E28"/>
    <w:rsid w:val="7E280AEA"/>
    <w:rsid w:val="7E3211AF"/>
    <w:rsid w:val="7E357960"/>
    <w:rsid w:val="7E404C29"/>
    <w:rsid w:val="7E451F45"/>
    <w:rsid w:val="7E463A29"/>
    <w:rsid w:val="7E4D2C83"/>
    <w:rsid w:val="7E527915"/>
    <w:rsid w:val="7E5404AD"/>
    <w:rsid w:val="7E62461D"/>
    <w:rsid w:val="7E6670B4"/>
    <w:rsid w:val="7E6E7900"/>
    <w:rsid w:val="7E7C6DEE"/>
    <w:rsid w:val="7E812AEE"/>
    <w:rsid w:val="7E835CC6"/>
    <w:rsid w:val="7E8443B2"/>
    <w:rsid w:val="7E867F9E"/>
    <w:rsid w:val="7E883FA6"/>
    <w:rsid w:val="7E9B41FD"/>
    <w:rsid w:val="7E9F102D"/>
    <w:rsid w:val="7EA4478C"/>
    <w:rsid w:val="7EA77E30"/>
    <w:rsid w:val="7EAC0A40"/>
    <w:rsid w:val="7EB232B2"/>
    <w:rsid w:val="7EBD6098"/>
    <w:rsid w:val="7EE76823"/>
    <w:rsid w:val="7EEDE03B"/>
    <w:rsid w:val="7EF33FB3"/>
    <w:rsid w:val="7EF50B83"/>
    <w:rsid w:val="7EFD6660"/>
    <w:rsid w:val="7F0C5E52"/>
    <w:rsid w:val="7F0F47E2"/>
    <w:rsid w:val="7F1340B9"/>
    <w:rsid w:val="7F191A8B"/>
    <w:rsid w:val="7F1B7B5F"/>
    <w:rsid w:val="7F224827"/>
    <w:rsid w:val="7F246256"/>
    <w:rsid w:val="7F266CB9"/>
    <w:rsid w:val="7F375529"/>
    <w:rsid w:val="7F3D1425"/>
    <w:rsid w:val="7F3E5CD9"/>
    <w:rsid w:val="7F3F1209"/>
    <w:rsid w:val="7F425AEE"/>
    <w:rsid w:val="7F4570AD"/>
    <w:rsid w:val="7F4933B8"/>
    <w:rsid w:val="7F504D11"/>
    <w:rsid w:val="7F57071F"/>
    <w:rsid w:val="7F676040"/>
    <w:rsid w:val="7F6C49B2"/>
    <w:rsid w:val="7F6F3043"/>
    <w:rsid w:val="7F760D6E"/>
    <w:rsid w:val="7F7860A4"/>
    <w:rsid w:val="7F7B0F77"/>
    <w:rsid w:val="7F85159B"/>
    <w:rsid w:val="7F8A5443"/>
    <w:rsid w:val="7F8F5D72"/>
    <w:rsid w:val="7F970F1E"/>
    <w:rsid w:val="7F990A8F"/>
    <w:rsid w:val="7F9A5E4D"/>
    <w:rsid w:val="7FA03475"/>
    <w:rsid w:val="7FA6614F"/>
    <w:rsid w:val="7FAB0FC5"/>
    <w:rsid w:val="7FAB29E4"/>
    <w:rsid w:val="7FAD0C39"/>
    <w:rsid w:val="7FBA06C2"/>
    <w:rsid w:val="7FBD41EB"/>
    <w:rsid w:val="7FC13865"/>
    <w:rsid w:val="7FD062F6"/>
    <w:rsid w:val="7FDB61D9"/>
    <w:rsid w:val="7FDE51A5"/>
    <w:rsid w:val="7FDF482B"/>
    <w:rsid w:val="7FE402C6"/>
    <w:rsid w:val="7FE432E4"/>
    <w:rsid w:val="7FE9341A"/>
    <w:rsid w:val="7FEF4DC3"/>
    <w:rsid w:val="7FF450F2"/>
    <w:rsid w:val="7FF558AD"/>
    <w:rsid w:val="7FF76EAD"/>
    <w:rsid w:val="7FFF6F46"/>
    <w:rsid w:val="CB5B5490"/>
    <w:rsid w:val="D7E9FF62"/>
    <w:rsid w:val="FD3E8452"/>
    <w:rsid w:val="FE7E7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9" w:semiHidden="0" w:name="footnote text"/>
    <w:lsdException w:uiPriority="0" w:name="annotation text"/>
    <w:lsdException w:qFormat="1" w:unhideWhenUsed="0" w:uiPriority="0" w:semiHidden="0" w:name="header"/>
    <w:lsdException w:qFormat="1" w:uiPriority="0" w:semiHidden="0" w:name="footer"/>
    <w:lsdException w:uiPriority="0" w:name="index heading"/>
    <w:lsdException w:qFormat="1" w:unhideWhenUsed="0" w:uiPriority="99" w:semiHidden="0" w:name="caption"/>
    <w:lsdException w:uiPriority="0" w:name="table of figures"/>
    <w:lsdException w:uiPriority="0" w:name="envelope address"/>
    <w:lsdException w:uiPriority="0" w:name="envelope return"/>
    <w:lsdException w:qFormat="1" w:uiPriority="99"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qFormat="1" w:unhideWhenUsed="0" w:uiPriority="0" w:semiHidden="0" w:name="Note Heading"/>
    <w:lsdException w:uiPriority="0" w:name="Body Text 2"/>
    <w:lsdException w:uiPriority="0" w:name="Body Text 3"/>
    <w:lsdException w:uiPriority="0" w:name="Body Text Indent 2"/>
    <w:lsdException w:uiPriority="0" w:name="Body Text Indent 3"/>
    <w:lsdException w:qFormat="1" w:unhideWhenUsed="0" w:uiPriority="0" w:semiHidden="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4"/>
      <w:lang w:val="en-US" w:eastAsia="zh-CN" w:bidi="ar-SA"/>
    </w:rPr>
  </w:style>
  <w:style w:type="paragraph" w:styleId="3">
    <w:name w:val="heading 1"/>
    <w:basedOn w:val="1"/>
    <w:next w:val="1"/>
    <w:link w:val="33"/>
    <w:qFormat/>
    <w:uiPriority w:val="0"/>
    <w:pPr>
      <w:keepNext/>
      <w:keepLines/>
      <w:spacing w:before="340" w:after="330" w:line="576" w:lineRule="auto"/>
      <w:jc w:val="center"/>
      <w:outlineLvl w:val="0"/>
    </w:pPr>
    <w:rPr>
      <w:rFonts w:eastAsia="方正小标宋简体"/>
      <w:kern w:val="44"/>
      <w:sz w:val="44"/>
    </w:rPr>
  </w:style>
  <w:style w:type="paragraph" w:styleId="4">
    <w:name w:val="heading 2"/>
    <w:basedOn w:val="1"/>
    <w:next w:val="1"/>
    <w:unhideWhenUsed/>
    <w:qFormat/>
    <w:uiPriority w:val="0"/>
    <w:pPr>
      <w:keepNext/>
      <w:keepLines/>
      <w:spacing w:line="592" w:lineRule="exact"/>
      <w:outlineLvl w:val="1"/>
    </w:pPr>
    <w:rPr>
      <w:rFonts w:eastAsia="黑体"/>
    </w:rPr>
  </w:style>
  <w:style w:type="paragraph" w:styleId="5">
    <w:name w:val="heading 3"/>
    <w:basedOn w:val="1"/>
    <w:next w:val="1"/>
    <w:semiHidden/>
    <w:unhideWhenUsed/>
    <w:qFormat/>
    <w:uiPriority w:val="0"/>
    <w:pPr>
      <w:keepNext/>
      <w:keepLines/>
      <w:spacing w:line="592" w:lineRule="exact"/>
      <w:outlineLvl w:val="2"/>
    </w:pPr>
    <w:rPr>
      <w:rFonts w:eastAsia="楷体_GB2312"/>
    </w:rPr>
  </w:style>
  <w:style w:type="paragraph" w:styleId="6">
    <w:name w:val="heading 4"/>
    <w:basedOn w:val="1"/>
    <w:next w:val="1"/>
    <w:link w:val="31"/>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Char"/>
    <w:basedOn w:val="1"/>
    <w:qFormat/>
    <w:uiPriority w:val="0"/>
    <w:pPr>
      <w:numPr>
        <w:ilvl w:val="0"/>
        <w:numId w:val="1"/>
      </w:numPr>
    </w:pPr>
  </w:style>
  <w:style w:type="paragraph" w:styleId="7">
    <w:name w:val="Note Heading"/>
    <w:basedOn w:val="1"/>
    <w:next w:val="1"/>
    <w:qFormat/>
    <w:uiPriority w:val="0"/>
    <w:pPr>
      <w:jc w:val="center"/>
    </w:pPr>
  </w:style>
  <w:style w:type="paragraph" w:styleId="8">
    <w:name w:val="caption"/>
    <w:basedOn w:val="1"/>
    <w:next w:val="1"/>
    <w:qFormat/>
    <w:uiPriority w:val="99"/>
    <w:rPr>
      <w:rFonts w:ascii="Arial" w:hAnsi="Arial" w:eastAsia="黑体" w:cs="Arial"/>
      <w:kern w:val="0"/>
      <w:sz w:val="20"/>
      <w:szCs w:val="20"/>
    </w:rPr>
  </w:style>
  <w:style w:type="paragraph" w:styleId="9">
    <w:name w:val="Body Text"/>
    <w:basedOn w:val="1"/>
    <w:link w:val="32"/>
    <w:qFormat/>
    <w:uiPriority w:val="0"/>
    <w:pPr>
      <w:spacing w:after="120"/>
    </w:pPr>
    <w:rPr>
      <w:rFonts w:ascii="Calibri" w:hAnsi="Calibri" w:eastAsia="宋体" w:cs="Times New Roman"/>
      <w:sz w:val="21"/>
      <w:szCs w:val="22"/>
    </w:rPr>
  </w:style>
  <w:style w:type="paragraph" w:styleId="10">
    <w:name w:val="Body Text Indent"/>
    <w:basedOn w:val="1"/>
    <w:link w:val="35"/>
    <w:unhideWhenUsed/>
    <w:qFormat/>
    <w:uiPriority w:val="0"/>
    <w:pPr>
      <w:spacing w:after="120"/>
      <w:ind w:left="420" w:leftChars="200"/>
    </w:pPr>
    <w:rPr>
      <w:rFonts w:cs="Times New Roman"/>
    </w:rPr>
  </w:style>
  <w:style w:type="paragraph" w:styleId="11">
    <w:name w:val="Block Text"/>
    <w:basedOn w:val="1"/>
    <w:qFormat/>
    <w:uiPriority w:val="0"/>
    <w:pPr>
      <w:spacing w:after="120"/>
      <w:ind w:left="1440" w:leftChars="700" w:right="700" w:rightChars="700"/>
    </w:pPr>
    <w:rPr>
      <w:rFonts w:ascii="Calibri" w:hAnsi="Calibri" w:eastAsia="宋体" w:cs="Times New Roman"/>
      <w:sz w:val="21"/>
    </w:rPr>
  </w:style>
  <w:style w:type="paragraph" w:styleId="12">
    <w:name w:val="Balloon Text"/>
    <w:basedOn w:val="1"/>
    <w:link w:val="30"/>
    <w:qFormat/>
    <w:uiPriority w:val="0"/>
    <w:rPr>
      <w:sz w:val="18"/>
      <w:szCs w:val="18"/>
    </w:rPr>
  </w:style>
  <w:style w:type="paragraph" w:styleId="13">
    <w:name w:val="footer"/>
    <w:basedOn w:val="1"/>
    <w:unhideWhenUsed/>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style>
  <w:style w:type="paragraph" w:styleId="16">
    <w:name w:val="footnote text"/>
    <w:basedOn w:val="1"/>
    <w:unhideWhenUsed/>
    <w:qFormat/>
    <w:uiPriority w:val="99"/>
    <w:pPr>
      <w:snapToGrid w:val="0"/>
      <w:jc w:val="left"/>
    </w:pPr>
    <w:rPr>
      <w:sz w:val="18"/>
      <w:szCs w:val="18"/>
    </w:rPr>
  </w:style>
  <w:style w:type="paragraph" w:styleId="17">
    <w:name w:val="toc 2"/>
    <w:basedOn w:val="1"/>
    <w:next w:val="1"/>
    <w:qFormat/>
    <w:uiPriority w:val="39"/>
    <w:pPr>
      <w:ind w:left="420" w:leftChars="200"/>
    </w:pPr>
  </w:style>
  <w:style w:type="paragraph" w:styleId="18">
    <w:name w:val="Normal (Web)"/>
    <w:basedOn w:val="1"/>
    <w:qFormat/>
    <w:uiPriority w:val="0"/>
    <w:pPr>
      <w:spacing w:beforeAutospacing="1" w:afterAutospacing="1"/>
      <w:jc w:val="left"/>
    </w:pPr>
    <w:rPr>
      <w:rFonts w:cs="Times New Roman"/>
      <w:kern w:val="0"/>
      <w:sz w:val="24"/>
    </w:rPr>
  </w:style>
  <w:style w:type="paragraph" w:styleId="19">
    <w:name w:val="Body Text First Indent 2"/>
    <w:basedOn w:val="10"/>
    <w:unhideWhenUsed/>
    <w:qFormat/>
    <w:uiPriority w:val="99"/>
    <w:pPr>
      <w:ind w:firstLine="42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rPr>
  </w:style>
  <w:style w:type="character" w:styleId="24">
    <w:name w:val="Emphasis"/>
    <w:basedOn w:val="22"/>
    <w:qFormat/>
    <w:uiPriority w:val="0"/>
    <w:rPr>
      <w:i/>
    </w:rPr>
  </w:style>
  <w:style w:type="character" w:styleId="25">
    <w:name w:val="Hyperlink"/>
    <w:basedOn w:val="22"/>
    <w:unhideWhenUsed/>
    <w:qFormat/>
    <w:uiPriority w:val="99"/>
    <w:rPr>
      <w:color w:val="0563C1" w:themeColor="hyperlink"/>
      <w:u w:val="single"/>
    </w:rPr>
  </w:style>
  <w:style w:type="character" w:styleId="26">
    <w:name w:val="footnote reference"/>
    <w:basedOn w:val="22"/>
    <w:unhideWhenUsed/>
    <w:qFormat/>
    <w:uiPriority w:val="99"/>
    <w:rPr>
      <w:vertAlign w:val="superscript"/>
    </w:rPr>
  </w:style>
  <w:style w:type="paragraph" w:customStyle="1" w:styleId="27">
    <w:name w:val="WPSOffice手动目录 1"/>
    <w:qFormat/>
    <w:uiPriority w:val="0"/>
    <w:rPr>
      <w:rFonts w:ascii="Times New Roman" w:hAnsi="Times New Roman" w:eastAsia="宋体" w:cs="Times New Roman"/>
      <w:lang w:val="en-US" w:eastAsia="zh-CN" w:bidi="ar-SA"/>
    </w:rPr>
  </w:style>
  <w:style w:type="paragraph" w:customStyle="1" w:styleId="2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9">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30">
    <w:name w:val="批注框文本 Char"/>
    <w:basedOn w:val="22"/>
    <w:link w:val="12"/>
    <w:qFormat/>
    <w:uiPriority w:val="0"/>
    <w:rPr>
      <w:rFonts w:eastAsia="仿宋_GB2312" w:cstheme="minorBidi"/>
      <w:kern w:val="2"/>
      <w:sz w:val="18"/>
      <w:szCs w:val="18"/>
    </w:rPr>
  </w:style>
  <w:style w:type="character" w:customStyle="1" w:styleId="31">
    <w:name w:val="标题 4 Char"/>
    <w:basedOn w:val="22"/>
    <w:link w:val="6"/>
    <w:semiHidden/>
    <w:qFormat/>
    <w:uiPriority w:val="0"/>
    <w:rPr>
      <w:rFonts w:asciiTheme="majorHAnsi" w:hAnsiTheme="majorHAnsi" w:eastAsiaTheme="majorEastAsia" w:cstheme="majorBidi"/>
      <w:b/>
      <w:bCs/>
      <w:kern w:val="2"/>
      <w:sz w:val="28"/>
      <w:szCs w:val="28"/>
    </w:rPr>
  </w:style>
  <w:style w:type="character" w:customStyle="1" w:styleId="32">
    <w:name w:val="正文文本 Char"/>
    <w:basedOn w:val="22"/>
    <w:link w:val="9"/>
    <w:qFormat/>
    <w:uiPriority w:val="0"/>
    <w:rPr>
      <w:rFonts w:ascii="Calibri" w:hAnsi="Calibri"/>
      <w:kern w:val="2"/>
      <w:sz w:val="21"/>
      <w:szCs w:val="22"/>
    </w:rPr>
  </w:style>
  <w:style w:type="character" w:customStyle="1" w:styleId="33">
    <w:name w:val="标题 1 Char"/>
    <w:basedOn w:val="22"/>
    <w:link w:val="3"/>
    <w:qFormat/>
    <w:uiPriority w:val="0"/>
    <w:rPr>
      <w:rFonts w:eastAsia="方正小标宋简体" w:cstheme="minorBidi"/>
      <w:kern w:val="44"/>
      <w:sz w:val="44"/>
      <w:szCs w:val="24"/>
    </w:rPr>
  </w:style>
  <w:style w:type="character" w:customStyle="1" w:styleId="34">
    <w:name w:val="正文文本缩进 字符1"/>
    <w:basedOn w:val="22"/>
    <w:qFormat/>
    <w:uiPriority w:val="0"/>
    <w:rPr>
      <w:rFonts w:hint="default" w:ascii="Calibri" w:hAnsi="Calibri" w:cs="Calibri"/>
      <w:kern w:val="2"/>
      <w:sz w:val="21"/>
      <w:szCs w:val="22"/>
    </w:rPr>
  </w:style>
  <w:style w:type="character" w:customStyle="1" w:styleId="35">
    <w:name w:val="正文文本缩进 Char"/>
    <w:basedOn w:val="22"/>
    <w:link w:val="10"/>
    <w:qFormat/>
    <w:uiPriority w:val="0"/>
    <w:rPr>
      <w:rFonts w:eastAsia="仿宋_GB2312"/>
      <w:kern w:val="2"/>
      <w:sz w:val="32"/>
      <w:szCs w:val="24"/>
    </w:rPr>
  </w:style>
  <w:style w:type="paragraph" w:customStyle="1" w:styleId="36">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color w:val="2E75B5" w:themeColor="accent1" w:themeShade="BF"/>
      <w:kern w:val="0"/>
      <w:sz w:val="32"/>
      <w:szCs w:val="32"/>
    </w:rPr>
  </w:style>
  <w:style w:type="character" w:customStyle="1" w:styleId="37">
    <w:name w:val="font51"/>
    <w:basedOn w:val="22"/>
    <w:qFormat/>
    <w:uiPriority w:val="0"/>
    <w:rPr>
      <w:rFonts w:ascii="方正小标宋_GBK" w:hAnsi="方正小标宋_GBK" w:eastAsia="方正小标宋_GBK" w:cs="方正小标宋_GBK"/>
      <w:color w:val="000000"/>
      <w:sz w:val="44"/>
      <w:szCs w:val="44"/>
      <w:u w:val="none"/>
    </w:rPr>
  </w:style>
  <w:style w:type="character" w:customStyle="1" w:styleId="38">
    <w:name w:val="font41"/>
    <w:basedOn w:val="22"/>
    <w:qFormat/>
    <w:uiPriority w:val="0"/>
    <w:rPr>
      <w:rFonts w:hint="default" w:ascii="Times New Roman" w:hAnsi="Times New Roman" w:cs="Times New Roman"/>
      <w:color w:val="000000"/>
      <w:sz w:val="44"/>
      <w:szCs w:val="44"/>
      <w:u w:val="none"/>
    </w:rPr>
  </w:style>
  <w:style w:type="character" w:customStyle="1" w:styleId="39">
    <w:name w:val="font31"/>
    <w:basedOn w:val="22"/>
    <w:qFormat/>
    <w:uiPriority w:val="0"/>
    <w:rPr>
      <w:rFonts w:hint="eastAsia" w:ascii="宋体" w:hAnsi="宋体" w:eastAsia="宋体" w:cs="宋体"/>
      <w:color w:val="000000"/>
      <w:sz w:val="20"/>
      <w:szCs w:val="20"/>
      <w:u w:val="none"/>
    </w:rPr>
  </w:style>
  <w:style w:type="character" w:customStyle="1" w:styleId="40">
    <w:name w:val="font11"/>
    <w:basedOn w:val="22"/>
    <w:qFormat/>
    <w:uiPriority w:val="0"/>
    <w:rPr>
      <w:rFonts w:hint="default" w:ascii="Times New Roman" w:hAnsi="Times New Roman" w:cs="Times New Roman"/>
      <w:color w:val="000000"/>
      <w:sz w:val="20"/>
      <w:szCs w:val="20"/>
      <w:u w:val="none"/>
    </w:rPr>
  </w:style>
  <w:style w:type="character" w:customStyle="1" w:styleId="41">
    <w:name w:val="font01"/>
    <w:basedOn w:val="22"/>
    <w:qFormat/>
    <w:uiPriority w:val="0"/>
    <w:rPr>
      <w:rFonts w:hint="eastAsia" w:ascii="宋体" w:hAnsi="宋体" w:eastAsia="宋体" w:cs="宋体"/>
      <w:color w:val="000000"/>
      <w:sz w:val="20"/>
      <w:szCs w:val="20"/>
      <w:u w:val="none"/>
    </w:rPr>
  </w:style>
  <w:style w:type="character" w:customStyle="1" w:styleId="42">
    <w:name w:val="font61"/>
    <w:basedOn w:val="22"/>
    <w:qFormat/>
    <w:uiPriority w:val="0"/>
    <w:rPr>
      <w:rFonts w:hint="default" w:ascii="Times New Roman" w:hAnsi="Times New Roman" w:cs="Times New Roman"/>
      <w:color w:val="000000"/>
      <w:sz w:val="20"/>
      <w:szCs w:val="20"/>
      <w:u w:val="none"/>
    </w:rPr>
  </w:style>
  <w:style w:type="character" w:customStyle="1" w:styleId="43">
    <w:name w:val="font81"/>
    <w:basedOn w:val="22"/>
    <w:qFormat/>
    <w:uiPriority w:val="0"/>
    <w:rPr>
      <w:rFonts w:hint="eastAsia" w:ascii="仿宋_GB2312" w:eastAsia="仿宋_GB2312" w:cs="仿宋_GB2312"/>
      <w:color w:val="000000"/>
      <w:sz w:val="22"/>
      <w:szCs w:val="22"/>
      <w:u w:val="none"/>
    </w:rPr>
  </w:style>
  <w:style w:type="character" w:customStyle="1" w:styleId="44">
    <w:name w:val="font112"/>
    <w:basedOn w:val="22"/>
    <w:qFormat/>
    <w:uiPriority w:val="0"/>
    <w:rPr>
      <w:rFonts w:hint="eastAsia" w:ascii="仿宋_GB2312" w:eastAsia="仿宋_GB2312" w:cs="仿宋_GB2312"/>
      <w:color w:val="000000"/>
      <w:sz w:val="24"/>
      <w:szCs w:val="24"/>
      <w:u w:val="none"/>
    </w:rPr>
  </w:style>
  <w:style w:type="character" w:customStyle="1" w:styleId="45">
    <w:name w:val="font71"/>
    <w:basedOn w:val="22"/>
    <w:qFormat/>
    <w:uiPriority w:val="0"/>
    <w:rPr>
      <w:rFonts w:hint="eastAsia" w:ascii="仿宋_GB2312" w:eastAsia="仿宋_GB2312" w:cs="仿宋_GB2312"/>
      <w:color w:val="000000"/>
      <w:sz w:val="24"/>
      <w:szCs w:val="24"/>
      <w:u w:val="none"/>
    </w:rPr>
  </w:style>
  <w:style w:type="character" w:customStyle="1" w:styleId="46">
    <w:name w:val="font141"/>
    <w:basedOn w:val="22"/>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chart" Target="charts/chart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wjj\Desktop\&#20029;&#27700;&#32769;&#40836;&#21270;&#35268;&#21010;\5.26&#20154;&#21475;&#25968;&#25454;\2020&#24180;&#22478;&#38215;&#20892;&#26449;&#20154;&#21475;&#30007;&#22899;&#24615;&#2103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b" anchorCtr="false"/>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200"/>
              <a:t>60</a:t>
            </a:r>
            <a:r>
              <a:rPr lang="zh-CN" altLang="en-US" sz="1200"/>
              <a:t>岁以上老年人口比重</a:t>
            </a:r>
            <a:endParaRPr lang="zh-CN" altLang="en-US" sz="1200"/>
          </a:p>
        </c:rich>
      </c:tx>
      <c:layout/>
      <c:overlay val="false"/>
      <c:spPr>
        <a:noFill/>
        <a:ln>
          <a:noFill/>
        </a:ln>
        <a:effectLst/>
      </c:spPr>
    </c:title>
    <c:autoTitleDeleted val="false"/>
    <c:plotArea>
      <c:layout/>
      <c:barChart>
        <c:barDir val="col"/>
        <c:grouping val="clustered"/>
        <c:varyColors val="false"/>
        <c:ser>
          <c:idx val="0"/>
          <c:order val="0"/>
          <c:tx>
            <c:strRef>
              <c:f>[2020年城镇农村人口男女性别.xls]Sheet2!$P$55</c:f>
              <c:strCache>
                <c:ptCount val="1"/>
                <c:pt idx="0">
                  <c:v>60岁以上老年人口比重</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prstDash val="solid"/>
                      <a:round/>
                    </a:ln>
                    <a:effectLst/>
                  </c:spPr>
                </c15:leaderLines>
              </c:ext>
            </c:extLst>
          </c:dLbls>
          <c:cat>
            <c:strRef>
              <c:f>[2020年城镇农村人口男女性别.xls]Sheet2!$O$56:$O$64</c:f>
              <c:strCache>
                <c:ptCount val="9"/>
                <c:pt idx="0">
                  <c:v>遂昌县</c:v>
                </c:pt>
                <c:pt idx="1">
                  <c:v>缙云县</c:v>
                </c:pt>
                <c:pt idx="2">
                  <c:v>云和县</c:v>
                </c:pt>
                <c:pt idx="3">
                  <c:v>松阳县</c:v>
                </c:pt>
                <c:pt idx="4">
                  <c:v>莲都区</c:v>
                </c:pt>
                <c:pt idx="5">
                  <c:v>龙泉市</c:v>
                </c:pt>
                <c:pt idx="6">
                  <c:v>景宁县</c:v>
                </c:pt>
                <c:pt idx="7">
                  <c:v>庆元县</c:v>
                </c:pt>
                <c:pt idx="8">
                  <c:v>青田县</c:v>
                </c:pt>
              </c:strCache>
            </c:strRef>
          </c:cat>
          <c:val>
            <c:numRef>
              <c:f>[2020年城镇农村人口男女性别.xls]Sheet2!$P$56:$P$64</c:f>
              <c:numCache>
                <c:formatCode>0.00%</c:formatCode>
                <c:ptCount val="9"/>
                <c:pt idx="0">
                  <c:v>0.231308746268268</c:v>
                </c:pt>
                <c:pt idx="1">
                  <c:v>0.211829324846944</c:v>
                </c:pt>
                <c:pt idx="2">
                  <c:v>0.207735348458449</c:v>
                </c:pt>
                <c:pt idx="3">
                  <c:v>0.202599572695758</c:v>
                </c:pt>
                <c:pt idx="4">
                  <c:v>0.202485954786878</c:v>
                </c:pt>
                <c:pt idx="5">
                  <c:v>0.195861773860711</c:v>
                </c:pt>
                <c:pt idx="6">
                  <c:v>0.186453125275398</c:v>
                </c:pt>
                <c:pt idx="7">
                  <c:v>0.181366203812664</c:v>
                </c:pt>
                <c:pt idx="8">
                  <c:v>0.175674327859386</c:v>
                </c:pt>
              </c:numCache>
            </c:numRef>
          </c:val>
        </c:ser>
        <c:dLbls>
          <c:showLegendKey val="false"/>
          <c:showVal val="true"/>
          <c:showCatName val="false"/>
          <c:showSerName val="false"/>
          <c:showPercent val="false"/>
          <c:showBubbleSize val="false"/>
        </c:dLbls>
        <c:gapWidth val="219"/>
        <c:overlap val="-27"/>
        <c:axId val="294610432"/>
        <c:axId val="294504128"/>
      </c:barChart>
      <c:catAx>
        <c:axId val="294610432"/>
        <c:scaling>
          <c:orientation val="minMax"/>
        </c:scaling>
        <c:delete val="false"/>
        <c:axPos val="b"/>
        <c:numFmt formatCode="General" sourceLinked="fals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294504128"/>
        <c:crosses val="autoZero"/>
        <c:auto val="true"/>
        <c:lblAlgn val="ctr"/>
        <c:lblOffset val="100"/>
        <c:noMultiLvlLbl val="false"/>
      </c:catAx>
      <c:valAx>
        <c:axId val="294504128"/>
        <c:scaling>
          <c:orientation val="minMax"/>
        </c:scaling>
        <c:delete val="false"/>
        <c:axPos val="l"/>
        <c:majorGridlines>
          <c:spPr>
            <a:ln w="9525" cap="flat" cmpd="sng" algn="ctr">
              <a:solidFill>
                <a:schemeClr val="tx1">
                  <a:lumMod val="15000"/>
                  <a:lumOff val="85000"/>
                </a:schemeClr>
              </a:solidFill>
              <a:prstDash val="solid"/>
              <a:round/>
            </a:ln>
            <a:effectLst/>
          </c:spPr>
        </c:majorGridlines>
        <c:numFmt formatCode="0.00%" sourceLinked="true"/>
        <c:majorTickMark val="none"/>
        <c:minorTickMark val="none"/>
        <c:tickLblPos val="nextTo"/>
        <c:spPr>
          <a:noFill/>
          <a:ln w="6350" cap="flat" cmpd="sng" algn="ctr">
            <a:no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294610432"/>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5782</Words>
  <Characters>32962</Characters>
  <Lines>274</Lines>
  <Paragraphs>77</Paragraphs>
  <TotalTime>32</TotalTime>
  <ScaleCrop>false</ScaleCrop>
  <LinksUpToDate>false</LinksUpToDate>
  <CharactersWithSpaces>38667</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2020-08-30T07:23:00Z</dcterms:created>
  <dc:creator>wjj</dc:creator>
  <cp:lastModifiedBy>greatwall</cp:lastModifiedBy>
  <dcterms:modified xsi:type="dcterms:W3CDTF">2022-01-27T10:31:33Z</dcterms:modified>
  <cp:revision>431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7331570DE86A471CB133A5D0FB7A62DE</vt:lpwstr>
  </property>
</Properties>
</file>