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r>
        <w:rPr>
          <w:rFonts w:hint="eastAsia"/>
          <w:sz w:val="32"/>
          <w:szCs w:val="32"/>
        </w:rPr>
        <w:t>丽水市人大会议参阅文件</w:t>
      </w:r>
    </w:p>
    <w:p/>
    <w:p/>
    <w:p/>
    <w:p/>
    <w:p/>
    <w:p/>
    <w:p/>
    <w:p/>
    <w:p>
      <w:pPr>
        <w:jc w:val="center"/>
        <w:rPr>
          <w:rFonts w:ascii="黑体" w:hAnsi="黑体" w:eastAsia="黑体"/>
          <w:b/>
          <w:sz w:val="72"/>
          <w:szCs w:val="72"/>
        </w:rPr>
      </w:pPr>
      <w:r>
        <w:rPr>
          <w:rFonts w:hint="eastAsia" w:ascii="黑体" w:hAnsi="黑体" w:eastAsia="黑体"/>
          <w:b/>
          <w:sz w:val="72"/>
          <w:szCs w:val="72"/>
        </w:rPr>
        <w:t>2019年绩效评价参阅资料</w:t>
      </w:r>
    </w:p>
    <w:p>
      <w:pPr>
        <w:jc w:val="center"/>
        <w:rPr>
          <w:rFonts w:hint="eastAsia" w:ascii="黑体" w:hAnsi="黑体" w:eastAsia="黑体"/>
          <w:b/>
          <w:sz w:val="72"/>
          <w:szCs w:val="72"/>
        </w:rPr>
      </w:pPr>
      <w:bookmarkStart w:id="0" w:name="_GoBack"/>
      <w:bookmarkEnd w:id="0"/>
    </w:p>
    <w:p>
      <w:pPr>
        <w:jc w:val="center"/>
        <w:rPr>
          <w:rFonts w:hint="eastAsia" w:ascii="黑体" w:hAnsi="黑体" w:eastAsia="黑体"/>
          <w:b/>
          <w:sz w:val="72"/>
          <w:szCs w:val="72"/>
        </w:rPr>
      </w:pPr>
    </w:p>
    <w:p>
      <w:pPr>
        <w:jc w:val="center"/>
        <w:rPr>
          <w:rFonts w:hint="eastAsia" w:ascii="黑体" w:hAnsi="黑体" w:eastAsia="黑体"/>
          <w:b/>
          <w:sz w:val="72"/>
          <w:szCs w:val="72"/>
        </w:rPr>
      </w:pPr>
    </w:p>
    <w:p>
      <w:pPr>
        <w:jc w:val="center"/>
        <w:rPr>
          <w:rFonts w:hint="eastAsia" w:ascii="黑体" w:hAnsi="黑体" w:eastAsia="黑体"/>
          <w:b/>
          <w:sz w:val="72"/>
          <w:szCs w:val="72"/>
        </w:rPr>
      </w:pPr>
    </w:p>
    <w:p>
      <w:pPr>
        <w:jc w:val="center"/>
        <w:rPr>
          <w:rFonts w:hint="eastAsia" w:ascii="黑体" w:hAnsi="黑体" w:eastAsia="黑体"/>
          <w:b/>
          <w:sz w:val="72"/>
          <w:szCs w:val="72"/>
        </w:rPr>
      </w:pPr>
    </w:p>
    <w:p>
      <w:pPr>
        <w:jc w:val="center"/>
        <w:rPr>
          <w:rFonts w:hint="eastAsia" w:ascii="黑体" w:hAnsi="黑体" w:eastAsia="黑体"/>
          <w:b/>
          <w:sz w:val="72"/>
          <w:szCs w:val="72"/>
        </w:rPr>
      </w:pPr>
    </w:p>
    <w:p>
      <w:pPr>
        <w:jc w:val="center"/>
        <w:rPr>
          <w:rFonts w:hint="eastAsia" w:ascii="黑体" w:hAnsi="黑体" w:eastAsia="黑体"/>
          <w:b/>
          <w:sz w:val="72"/>
          <w:szCs w:val="72"/>
        </w:rPr>
      </w:pPr>
    </w:p>
    <w:p>
      <w:pPr>
        <w:jc w:val="center"/>
        <w:rPr>
          <w:rFonts w:hint="eastAsia" w:ascii="仿宋_GB2312" w:eastAsia="仿宋_GB2312" w:hAnsiTheme="minorEastAsia"/>
          <w:b/>
          <w:sz w:val="52"/>
          <w:szCs w:val="52"/>
        </w:rPr>
      </w:pPr>
      <w:r>
        <w:rPr>
          <w:rFonts w:hint="eastAsia" w:ascii="仿宋_GB2312" w:eastAsia="仿宋_GB2312" w:hAnsiTheme="minorEastAsia"/>
          <w:b/>
          <w:sz w:val="52"/>
          <w:szCs w:val="52"/>
        </w:rPr>
        <w:t>丽水市财政局编</w:t>
      </w:r>
    </w:p>
    <w:p>
      <w:pPr>
        <w:jc w:val="center"/>
        <w:rPr>
          <w:rFonts w:hint="eastAsia" w:ascii="仿宋_GB2312" w:eastAsia="仿宋_GB2312" w:hAnsiTheme="minorEastAsia"/>
          <w:b/>
          <w:sz w:val="52"/>
          <w:szCs w:val="52"/>
        </w:rPr>
      </w:pPr>
    </w:p>
    <w:p>
      <w:pPr>
        <w:jc w:val="center"/>
        <w:rPr>
          <w:rFonts w:hint="eastAsia" w:ascii="仿宋_GB2312" w:eastAsia="仿宋_GB2312" w:hAnsiTheme="minorEastAsia"/>
          <w:b/>
          <w:sz w:val="52"/>
          <w:szCs w:val="52"/>
        </w:rPr>
      </w:pPr>
    </w:p>
    <w:p>
      <w:pPr>
        <w:jc w:val="center"/>
        <w:rPr>
          <w:rFonts w:hint="eastAsia" w:ascii="仿宋_GB2312" w:eastAsia="仿宋_GB2312" w:hAnsiTheme="minorEastAsia"/>
          <w:b/>
          <w:sz w:val="52"/>
          <w:szCs w:val="52"/>
        </w:rPr>
      </w:pPr>
    </w:p>
    <w:p>
      <w:pPr>
        <w:jc w:val="center"/>
        <w:rPr>
          <w:rFonts w:hint="eastAsia" w:asciiTheme="minorEastAsia" w:hAnsiTheme="minorEastAsia"/>
          <w:b/>
          <w:sz w:val="52"/>
          <w:szCs w:val="52"/>
        </w:rPr>
      </w:pPr>
      <w:r>
        <w:rPr>
          <w:rFonts w:hint="eastAsia" w:asciiTheme="minorEastAsia" w:hAnsiTheme="minorEastAsia"/>
          <w:b/>
          <w:sz w:val="52"/>
          <w:szCs w:val="52"/>
        </w:rPr>
        <w:t>目  录</w:t>
      </w:r>
    </w:p>
    <w:p>
      <w:pPr>
        <w:spacing w:line="480" w:lineRule="auto"/>
        <w:rPr>
          <w:rFonts w:hint="eastAsia" w:ascii="仿宋_GB2312" w:hAnsi="宋体" w:eastAsia="仿宋_GB2312" w:cs="Times New Roman"/>
          <w:sz w:val="36"/>
          <w:szCs w:val="36"/>
        </w:rPr>
      </w:pPr>
    </w:p>
    <w:p>
      <w:pPr>
        <w:spacing w:line="480" w:lineRule="auto"/>
        <w:ind w:left="715" w:leftChars="169" w:hanging="360" w:hangingChars="100"/>
        <w:rPr>
          <w:rFonts w:hint="eastAsia" w:ascii="仿宋_GB2312" w:hAnsi="仿宋_GB2312" w:eastAsia="仿宋_GB2312" w:cs="仿宋_GB2312"/>
          <w:b w:val="0"/>
          <w:bCs w:val="0"/>
          <w:sz w:val="36"/>
          <w:szCs w:val="36"/>
          <w:lang w:eastAsia="zh-CN"/>
        </w:rPr>
      </w:pPr>
      <w:r>
        <w:rPr>
          <w:rFonts w:hint="eastAsia" w:ascii="仿宋_GB2312" w:hAnsi="仿宋_GB2312" w:eastAsia="仿宋_GB2312" w:cs="仿宋_GB2312"/>
          <w:b w:val="0"/>
          <w:bCs w:val="0"/>
          <w:sz w:val="36"/>
          <w:szCs w:val="36"/>
        </w:rPr>
        <w:t>1. 2016-2018年丽水市促进电子商务发展专项扶持政策</w:t>
      </w:r>
      <w:r>
        <w:rPr>
          <w:rFonts w:hint="eastAsia" w:ascii="仿宋_GB2312" w:hAnsi="仿宋_GB2312" w:eastAsia="仿宋_GB2312" w:cs="仿宋_GB2312"/>
          <w:b w:val="0"/>
          <w:bCs w:val="0"/>
          <w:sz w:val="36"/>
          <w:szCs w:val="36"/>
          <w:lang w:eastAsia="zh-CN"/>
        </w:rPr>
        <w:t>评价报告</w:t>
      </w:r>
    </w:p>
    <w:p>
      <w:pPr>
        <w:spacing w:line="560" w:lineRule="exact"/>
        <w:ind w:left="1001" w:leftChars="134" w:hanging="720" w:hangingChars="200"/>
        <w:rPr>
          <w:rFonts w:hint="eastAsia" w:ascii="仿宋_GB2312" w:hAnsi="仿宋_GB2312" w:eastAsia="仿宋_GB2312" w:cs="仿宋_GB2312"/>
          <w:b w:val="0"/>
          <w:bCs w:val="0"/>
          <w:sz w:val="36"/>
          <w:szCs w:val="36"/>
          <w:lang w:eastAsia="zh-CN"/>
        </w:rPr>
      </w:pPr>
      <w:r>
        <w:rPr>
          <w:rFonts w:hint="eastAsia" w:ascii="仿宋_GB2312" w:hAnsi="仿宋_GB2312" w:eastAsia="仿宋_GB2312" w:cs="仿宋_GB2312"/>
          <w:b w:val="0"/>
          <w:bCs w:val="0"/>
          <w:sz w:val="36"/>
          <w:szCs w:val="36"/>
        </w:rPr>
        <w:t>2.</w:t>
      </w:r>
      <w:r>
        <w:rPr>
          <w:rFonts w:hint="eastAsia" w:ascii="仿宋_GB2312" w:hAnsi="仿宋_GB2312" w:eastAsia="仿宋_GB2312" w:cs="仿宋_GB2312"/>
          <w:b w:val="0"/>
          <w:bCs w:val="0"/>
          <w:sz w:val="36"/>
          <w:szCs w:val="36"/>
          <w:lang w:val="en-US" w:eastAsia="zh-CN"/>
        </w:rPr>
        <w:t xml:space="preserve"> </w:t>
      </w:r>
      <w:r>
        <w:rPr>
          <w:rFonts w:hint="eastAsia" w:ascii="仿宋_GB2312" w:hAnsi="仿宋_GB2312" w:eastAsia="仿宋_GB2312" w:cs="仿宋_GB2312"/>
          <w:b w:val="0"/>
          <w:bCs w:val="0"/>
          <w:sz w:val="36"/>
          <w:szCs w:val="36"/>
        </w:rPr>
        <w:t>2016-2018年生态精品现代农业发展专项-九大产业补助政策</w:t>
      </w:r>
      <w:r>
        <w:rPr>
          <w:rFonts w:hint="eastAsia" w:ascii="仿宋_GB2312" w:hAnsi="仿宋_GB2312" w:eastAsia="仿宋_GB2312" w:cs="仿宋_GB2312"/>
          <w:b w:val="0"/>
          <w:bCs w:val="0"/>
          <w:sz w:val="36"/>
          <w:szCs w:val="36"/>
          <w:lang w:eastAsia="zh-CN"/>
        </w:rPr>
        <w:t>评价报告</w:t>
      </w:r>
    </w:p>
    <w:p>
      <w:pPr>
        <w:widowControl/>
        <w:ind w:left="1079" w:leftChars="171" w:hanging="720" w:hangingChars="200"/>
        <w:jc w:val="both"/>
        <w:rPr>
          <w:rFonts w:hint="eastAsia" w:ascii="仿宋_GB2312" w:hAnsi="仿宋_GB2312" w:eastAsia="仿宋_GB2312" w:cs="仿宋_GB2312"/>
          <w:b w:val="0"/>
          <w:bCs w:val="0"/>
          <w:kern w:val="0"/>
          <w:sz w:val="36"/>
          <w:szCs w:val="36"/>
          <w:lang w:eastAsia="zh-CN"/>
        </w:rPr>
      </w:pPr>
      <w:r>
        <w:rPr>
          <w:rFonts w:hint="eastAsia" w:ascii="仿宋_GB2312" w:hAnsi="仿宋_GB2312" w:eastAsia="仿宋_GB2312" w:cs="仿宋_GB2312"/>
          <w:b w:val="0"/>
          <w:bCs w:val="0"/>
          <w:kern w:val="0"/>
          <w:sz w:val="36"/>
          <w:szCs w:val="36"/>
          <w:lang w:val="en-US" w:eastAsia="zh-CN"/>
        </w:rPr>
        <w:t xml:space="preserve">3. </w:t>
      </w:r>
      <w:r>
        <w:rPr>
          <w:rFonts w:hint="eastAsia" w:ascii="仿宋_GB2312" w:hAnsi="仿宋_GB2312" w:eastAsia="仿宋_GB2312" w:cs="仿宋_GB2312"/>
          <w:b w:val="0"/>
          <w:bCs w:val="0"/>
          <w:kern w:val="0"/>
          <w:sz w:val="36"/>
          <w:szCs w:val="36"/>
        </w:rPr>
        <w:t>2016-2018年生态精品现代农业发展专项-农产品转化为旅游地商品补助政策</w:t>
      </w:r>
      <w:r>
        <w:rPr>
          <w:rFonts w:hint="eastAsia" w:ascii="仿宋_GB2312" w:hAnsi="仿宋_GB2312" w:eastAsia="仿宋_GB2312" w:cs="仿宋_GB2312"/>
          <w:b w:val="0"/>
          <w:bCs w:val="0"/>
          <w:kern w:val="0"/>
          <w:sz w:val="36"/>
          <w:szCs w:val="36"/>
          <w:lang w:eastAsia="zh-CN"/>
        </w:rPr>
        <w:t>评价报告</w:t>
      </w:r>
    </w:p>
    <w:p>
      <w:pPr>
        <w:ind w:left="1079" w:leftChars="171" w:hanging="720" w:hangingChars="200"/>
        <w:jc w:val="left"/>
        <w:rPr>
          <w:rFonts w:hint="eastAsia" w:ascii="仿宋_GB2312" w:hAnsi="仿宋_GB2312" w:eastAsia="仿宋_GB2312" w:cs="仿宋_GB2312"/>
          <w:b w:val="0"/>
          <w:bCs w:val="0"/>
          <w:kern w:val="0"/>
          <w:sz w:val="36"/>
          <w:szCs w:val="36"/>
          <w:lang w:eastAsia="zh-CN"/>
        </w:rPr>
      </w:pPr>
      <w:r>
        <w:rPr>
          <w:rFonts w:hint="eastAsia" w:ascii="仿宋_GB2312" w:hAnsi="仿宋_GB2312" w:eastAsia="仿宋_GB2312" w:cs="仿宋_GB2312"/>
          <w:b w:val="0"/>
          <w:bCs w:val="0"/>
          <w:kern w:val="0"/>
          <w:sz w:val="36"/>
          <w:szCs w:val="36"/>
          <w:lang w:val="en-US" w:eastAsia="zh-CN"/>
        </w:rPr>
        <w:t xml:space="preserve">4. </w:t>
      </w:r>
      <w:r>
        <w:rPr>
          <w:rFonts w:hint="eastAsia" w:ascii="仿宋_GB2312" w:hAnsi="仿宋_GB2312" w:eastAsia="仿宋_GB2312" w:cs="仿宋_GB2312"/>
          <w:b w:val="0"/>
          <w:bCs w:val="0"/>
          <w:kern w:val="0"/>
          <w:sz w:val="36"/>
          <w:szCs w:val="36"/>
        </w:rPr>
        <w:t>2016-2018年生态精品现代农业发展专项</w:t>
      </w:r>
      <w:r>
        <w:rPr>
          <w:rFonts w:hint="eastAsia" w:ascii="仿宋_GB2312" w:hAnsi="仿宋_GB2312" w:eastAsia="仿宋_GB2312" w:cs="仿宋_GB2312"/>
          <w:b w:val="0"/>
          <w:bCs w:val="0"/>
          <w:kern w:val="0"/>
          <w:sz w:val="36"/>
          <w:szCs w:val="36"/>
          <w:lang w:val="en-US" w:eastAsia="zh-CN"/>
        </w:rPr>
        <w:t>-</w:t>
      </w:r>
      <w:r>
        <w:rPr>
          <w:rFonts w:hint="eastAsia" w:ascii="仿宋_GB2312" w:hAnsi="仿宋_GB2312" w:eastAsia="仿宋_GB2312" w:cs="仿宋_GB2312"/>
          <w:b w:val="0"/>
          <w:bCs w:val="0"/>
          <w:kern w:val="0"/>
          <w:sz w:val="36"/>
          <w:szCs w:val="36"/>
        </w:rPr>
        <w:t>院校合作补助政策</w:t>
      </w:r>
      <w:r>
        <w:rPr>
          <w:rFonts w:hint="eastAsia" w:ascii="仿宋_GB2312" w:hAnsi="仿宋_GB2312" w:eastAsia="仿宋_GB2312" w:cs="仿宋_GB2312"/>
          <w:b w:val="0"/>
          <w:bCs w:val="0"/>
          <w:kern w:val="0"/>
          <w:sz w:val="36"/>
          <w:szCs w:val="36"/>
          <w:lang w:eastAsia="zh-CN"/>
        </w:rPr>
        <w:t>评价报告</w:t>
      </w:r>
    </w:p>
    <w:p>
      <w:pPr>
        <w:ind w:left="1079" w:leftChars="171" w:hanging="720" w:hangingChars="200"/>
        <w:jc w:val="both"/>
        <w:rPr>
          <w:rFonts w:hint="eastAsia" w:ascii="仿宋_GB2312" w:hAnsi="仿宋_GB2312" w:eastAsia="仿宋_GB2312" w:cs="仿宋_GB2312"/>
          <w:b w:val="0"/>
          <w:bCs w:val="0"/>
          <w:kern w:val="0"/>
          <w:sz w:val="36"/>
          <w:szCs w:val="36"/>
          <w:lang w:eastAsia="zh-CN"/>
        </w:rPr>
      </w:pPr>
      <w:r>
        <w:rPr>
          <w:rFonts w:hint="eastAsia" w:ascii="仿宋_GB2312" w:hAnsi="仿宋_GB2312" w:eastAsia="仿宋_GB2312" w:cs="仿宋_GB2312"/>
          <w:b w:val="0"/>
          <w:bCs w:val="0"/>
          <w:kern w:val="0"/>
          <w:sz w:val="36"/>
          <w:szCs w:val="36"/>
          <w:lang w:val="en-US" w:eastAsia="zh-CN"/>
        </w:rPr>
        <w:t xml:space="preserve">5. </w:t>
      </w:r>
      <w:r>
        <w:rPr>
          <w:rFonts w:hint="eastAsia" w:ascii="仿宋_GB2312" w:hAnsi="仿宋_GB2312" w:eastAsia="仿宋_GB2312" w:cs="仿宋_GB2312"/>
          <w:b w:val="0"/>
          <w:bCs w:val="0"/>
          <w:sz w:val="36"/>
          <w:szCs w:val="36"/>
          <w:lang w:val="en-US" w:eastAsia="zh-CN"/>
        </w:rPr>
        <w:t>2018年</w:t>
      </w:r>
      <w:r>
        <w:rPr>
          <w:rFonts w:hint="eastAsia" w:ascii="仿宋_GB2312" w:hAnsi="仿宋_GB2312" w:eastAsia="仿宋_GB2312" w:cs="仿宋_GB2312"/>
          <w:b w:val="0"/>
          <w:bCs w:val="0"/>
          <w:sz w:val="36"/>
          <w:szCs w:val="36"/>
        </w:rPr>
        <w:t>丽水市</w:t>
      </w:r>
      <w:r>
        <w:rPr>
          <w:rFonts w:hint="eastAsia" w:ascii="仿宋_GB2312" w:hAnsi="仿宋_GB2312" w:eastAsia="仿宋_GB2312" w:cs="仿宋_GB2312"/>
          <w:b w:val="0"/>
          <w:bCs w:val="0"/>
          <w:kern w:val="0"/>
          <w:sz w:val="36"/>
          <w:szCs w:val="36"/>
        </w:rPr>
        <w:t>污水处理服务支出（含代征手续费和差价补贴）</w:t>
      </w:r>
      <w:r>
        <w:rPr>
          <w:rFonts w:hint="eastAsia" w:ascii="仿宋_GB2312" w:hAnsi="仿宋_GB2312" w:eastAsia="仿宋_GB2312" w:cs="仿宋_GB2312"/>
          <w:b w:val="0"/>
          <w:bCs w:val="0"/>
          <w:kern w:val="0"/>
          <w:sz w:val="36"/>
          <w:szCs w:val="36"/>
          <w:lang w:eastAsia="zh-CN"/>
        </w:rPr>
        <w:t>评价报告</w:t>
      </w:r>
    </w:p>
    <w:p>
      <w:pPr>
        <w:ind w:left="1079" w:leftChars="171" w:hanging="720" w:hangingChars="200"/>
        <w:jc w:val="both"/>
        <w:rPr>
          <w:rFonts w:hint="eastAsia" w:ascii="仿宋_GB2312" w:hAnsi="仿宋_GB2312" w:eastAsia="仿宋_GB2312" w:cs="仿宋_GB2312"/>
          <w:b w:val="0"/>
          <w:bCs w:val="0"/>
          <w:sz w:val="36"/>
          <w:szCs w:val="36"/>
        </w:rPr>
      </w:pPr>
      <w:r>
        <w:rPr>
          <w:rFonts w:hint="eastAsia" w:ascii="仿宋_GB2312" w:hAnsi="仿宋_GB2312" w:eastAsia="仿宋_GB2312" w:cs="仿宋_GB2312"/>
          <w:b w:val="0"/>
          <w:bCs w:val="0"/>
          <w:kern w:val="0"/>
          <w:sz w:val="36"/>
          <w:szCs w:val="36"/>
          <w:lang w:val="en-US" w:eastAsia="zh-CN"/>
        </w:rPr>
        <w:t xml:space="preserve">6. </w:t>
      </w:r>
      <w:r>
        <w:rPr>
          <w:rFonts w:hint="eastAsia" w:ascii="仿宋_GB2312" w:hAnsi="仿宋_GB2312" w:eastAsia="仿宋_GB2312" w:cs="仿宋_GB2312"/>
          <w:b w:val="0"/>
          <w:bCs w:val="0"/>
          <w:kern w:val="0"/>
          <w:sz w:val="36"/>
          <w:szCs w:val="36"/>
        </w:rPr>
        <w:t>2018全国轮滑锦标赛项目政府购买服务项目</w:t>
      </w:r>
      <w:r>
        <w:rPr>
          <w:rFonts w:hint="eastAsia" w:ascii="仿宋_GB2312" w:hAnsi="仿宋_GB2312" w:eastAsia="仿宋_GB2312" w:cs="仿宋_GB2312"/>
          <w:b w:val="0"/>
          <w:bCs w:val="0"/>
          <w:sz w:val="36"/>
          <w:szCs w:val="36"/>
        </w:rPr>
        <w:t>评价报告</w:t>
      </w:r>
    </w:p>
    <w:p>
      <w:pPr>
        <w:widowControl/>
        <w:ind w:left="799" w:leftChars="171" w:hanging="440" w:hangingChars="100"/>
        <w:jc w:val="both"/>
        <w:rPr>
          <w:rFonts w:hint="default" w:asciiTheme="minorEastAsia" w:hAnsiTheme="minorEastAsia" w:eastAsiaTheme="minorEastAsia" w:cstheme="minorEastAsia"/>
          <w:b w:val="0"/>
          <w:bCs/>
          <w:kern w:val="0"/>
          <w:sz w:val="44"/>
          <w:szCs w:val="44"/>
          <w:lang w:val="en-US" w:eastAsia="zh-CN"/>
        </w:rPr>
      </w:pPr>
    </w:p>
    <w:p>
      <w:pPr>
        <w:spacing w:line="480" w:lineRule="auto"/>
        <w:ind w:firstLine="360" w:firstLineChars="100"/>
        <w:jc w:val="left"/>
        <w:rPr>
          <w:rFonts w:hint="eastAsia" w:ascii="仿宋_GB2312" w:hAnsi="宋体" w:eastAsia="仿宋_GB2312" w:cs="Times New Roman"/>
          <w:sz w:val="36"/>
          <w:szCs w:val="36"/>
        </w:rPr>
      </w:pPr>
    </w:p>
    <w:p>
      <w:pPr>
        <w:spacing w:line="480" w:lineRule="auto"/>
        <w:ind w:firstLine="360" w:firstLineChars="100"/>
        <w:jc w:val="left"/>
        <w:rPr>
          <w:rFonts w:hint="eastAsia" w:ascii="仿宋_GB2312" w:hAnsi="宋体" w:eastAsia="仿宋_GB2312" w:cs="Times New Roman"/>
          <w:sz w:val="36"/>
          <w:szCs w:val="36"/>
        </w:rPr>
      </w:pPr>
    </w:p>
    <w:p>
      <w:pPr>
        <w:spacing w:line="348" w:lineRule="auto"/>
        <w:rPr>
          <w:rFonts w:hint="eastAsia" w:ascii="新宋体" w:hAnsi="新宋体" w:eastAsia="新宋体" w:cs="新宋体"/>
          <w:b/>
          <w:bCs/>
          <w:sz w:val="32"/>
          <w:szCs w:val="32"/>
        </w:rPr>
      </w:pPr>
    </w:p>
    <w:p>
      <w:pPr>
        <w:spacing w:line="348" w:lineRule="auto"/>
        <w:rPr>
          <w:rFonts w:hint="eastAsia" w:ascii="新宋体" w:hAnsi="新宋体" w:eastAsia="新宋体" w:cs="新宋体"/>
          <w:b/>
          <w:bCs/>
          <w:sz w:val="32"/>
          <w:szCs w:val="32"/>
        </w:rPr>
      </w:pPr>
    </w:p>
    <w:p>
      <w:pPr>
        <w:spacing w:line="348" w:lineRule="auto"/>
        <w:rPr>
          <w:rFonts w:hint="eastAsia" w:ascii="新宋体" w:hAnsi="新宋体" w:eastAsia="新宋体" w:cs="新宋体"/>
          <w:b/>
          <w:bCs/>
          <w:sz w:val="32"/>
          <w:szCs w:val="32"/>
        </w:rPr>
      </w:pPr>
    </w:p>
    <w:p>
      <w:pPr>
        <w:spacing w:line="480" w:lineRule="auto"/>
        <w:ind w:firstLine="720" w:firstLineChars="100"/>
        <w:jc w:val="center"/>
        <w:rPr>
          <w:rFonts w:hint="eastAsia" w:ascii="黑体" w:hAnsi="黑体" w:eastAsia="黑体"/>
          <w:sz w:val="72"/>
          <w:szCs w:val="72"/>
        </w:rPr>
      </w:pPr>
    </w:p>
    <w:p>
      <w:pPr>
        <w:spacing w:line="480" w:lineRule="auto"/>
        <w:ind w:firstLine="720" w:firstLineChars="100"/>
        <w:jc w:val="center"/>
        <w:rPr>
          <w:rFonts w:hint="eastAsia" w:ascii="黑体" w:hAnsi="黑体" w:eastAsia="黑体" w:cs="新宋体"/>
          <w:b/>
          <w:bCs/>
          <w:sz w:val="72"/>
          <w:szCs w:val="72"/>
        </w:rPr>
      </w:pPr>
      <w:r>
        <w:rPr>
          <w:rFonts w:hint="eastAsia" w:ascii="黑体" w:hAnsi="黑体" w:eastAsia="黑体"/>
          <w:sz w:val="72"/>
          <w:szCs w:val="72"/>
        </w:rPr>
        <w:t>丽水市促进电子商务发展专项扶持政策</w:t>
      </w:r>
    </w:p>
    <w:p>
      <w:pPr>
        <w:spacing w:line="480" w:lineRule="auto"/>
        <w:ind w:firstLine="522" w:firstLineChars="100"/>
        <w:jc w:val="center"/>
        <w:rPr>
          <w:rFonts w:hint="eastAsia" w:ascii="仿宋_GB2312" w:hAnsi="宋体" w:eastAsia="仿宋_GB2312" w:cs="Times New Roman"/>
          <w:sz w:val="52"/>
          <w:szCs w:val="52"/>
        </w:rPr>
      </w:pPr>
      <w:r>
        <w:rPr>
          <w:rFonts w:hint="eastAsia" w:ascii="黑体" w:hAnsi="黑体" w:eastAsia="黑体" w:cs="新宋体"/>
          <w:b/>
          <w:bCs/>
          <w:sz w:val="52"/>
          <w:szCs w:val="52"/>
        </w:rPr>
        <w:t>（2016-2018年）</w:t>
      </w:r>
    </w:p>
    <w:p>
      <w:pPr>
        <w:spacing w:line="480" w:lineRule="auto"/>
        <w:jc w:val="center"/>
        <w:rPr>
          <w:rFonts w:hint="eastAsia" w:ascii="仿宋_GB2312" w:hAnsi="宋体" w:eastAsia="仿宋_GB2312" w:cs="Times New Roman"/>
          <w:sz w:val="52"/>
          <w:szCs w:val="52"/>
        </w:rPr>
      </w:pPr>
    </w:p>
    <w:p>
      <w:pPr>
        <w:spacing w:line="480" w:lineRule="auto"/>
        <w:ind w:firstLine="360" w:firstLineChars="100"/>
        <w:jc w:val="left"/>
        <w:rPr>
          <w:rFonts w:hint="eastAsia" w:ascii="仿宋_GB2312" w:hAnsi="宋体" w:eastAsia="仿宋_GB2312" w:cs="Times New Roman"/>
          <w:sz w:val="36"/>
          <w:szCs w:val="36"/>
        </w:rPr>
      </w:pP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绩</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效</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评</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价</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报</w:t>
      </w:r>
    </w:p>
    <w:p>
      <w:pPr>
        <w:spacing w:line="480" w:lineRule="auto"/>
        <w:jc w:val="center"/>
        <w:rPr>
          <w:rFonts w:hint="eastAsia" w:ascii="仿宋_GB2312" w:hAnsi="宋体" w:eastAsia="仿宋_GB2312" w:cs="Times New Roman"/>
          <w:sz w:val="36"/>
          <w:szCs w:val="36"/>
        </w:rPr>
      </w:pPr>
      <w:r>
        <w:rPr>
          <w:rFonts w:hint="eastAsia" w:ascii="宋体" w:eastAsia="宋体" w:cs="宋体"/>
          <w:b/>
          <w:kern w:val="0"/>
          <w:sz w:val="84"/>
          <w:szCs w:val="84"/>
        </w:rPr>
        <w:t>告</w:t>
      </w:r>
    </w:p>
    <w:p>
      <w:pPr>
        <w:spacing w:line="480" w:lineRule="auto"/>
        <w:ind w:firstLine="360" w:firstLineChars="100"/>
        <w:jc w:val="left"/>
        <w:rPr>
          <w:rFonts w:hint="eastAsia" w:ascii="仿宋_GB2312" w:hAnsi="宋体" w:eastAsia="仿宋_GB2312" w:cs="Times New Roman"/>
          <w:sz w:val="36"/>
          <w:szCs w:val="36"/>
        </w:rPr>
      </w:pPr>
    </w:p>
    <w:p>
      <w:pPr>
        <w:spacing w:line="480" w:lineRule="auto"/>
        <w:ind w:firstLine="360" w:firstLineChars="100"/>
        <w:jc w:val="left"/>
        <w:rPr>
          <w:rFonts w:hint="eastAsia" w:ascii="仿宋_GB2312" w:hAnsi="宋体" w:eastAsia="仿宋_GB2312" w:cs="Times New Roman"/>
          <w:sz w:val="36"/>
          <w:szCs w:val="36"/>
        </w:rPr>
      </w:pPr>
    </w:p>
    <w:p>
      <w:pPr>
        <w:rPr>
          <w:rFonts w:hint="eastAsia"/>
        </w:rPr>
      </w:pPr>
    </w:p>
    <w:p>
      <w:pPr>
        <w:rPr>
          <w:rFonts w:hint="eastAsia"/>
        </w:rPr>
      </w:pPr>
    </w:p>
    <w:p>
      <w:pPr>
        <w:jc w:val="center"/>
        <w:rPr>
          <w:rFonts w:hint="eastAsia" w:asciiTheme="minorEastAsia" w:hAnsiTheme="minorEastAsia"/>
          <w:b/>
          <w:sz w:val="44"/>
          <w:szCs w:val="44"/>
        </w:rPr>
      </w:pPr>
      <w:r>
        <w:rPr>
          <w:rFonts w:hint="eastAsia" w:asciiTheme="minorEastAsia" w:hAnsiTheme="minorEastAsia"/>
          <w:b/>
          <w:sz w:val="44"/>
          <w:szCs w:val="44"/>
        </w:rPr>
        <w:t>2016-2018年丽水市促进电子商务发展专项扶持政策评价报告</w:t>
      </w:r>
    </w:p>
    <w:p>
      <w:pPr>
        <w:jc w:val="center"/>
        <w:rPr>
          <w:rFonts w:hint="eastAsia" w:asciiTheme="minorEastAsia" w:hAnsiTheme="minorEastAsia"/>
          <w:b/>
          <w:sz w:val="44"/>
          <w:szCs w:val="44"/>
        </w:rPr>
      </w:pP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为了全面梳理2016-2018年丽水市促进电子商务发展专项扶持政策的实施情况和效果，不断提高财政资金使用绩效，为下一步政策完善提供决策参考，根据《中共丽水市委</w:t>
      </w:r>
      <w:r>
        <w:rPr>
          <w:rFonts w:ascii="仿宋" w:hAnsi="仿宋" w:eastAsia="仿宋" w:cs="Times New Roman"/>
          <w:sz w:val="28"/>
          <w:szCs w:val="28"/>
        </w:rPr>
        <w:t xml:space="preserve"> 丽水市人民政府关于全面实施预算绩效管理的若干意见》（丽委发〔2019〕24号）</w:t>
      </w:r>
      <w:r>
        <w:rPr>
          <w:rFonts w:hint="eastAsia" w:ascii="仿宋" w:hAnsi="仿宋" w:eastAsia="仿宋" w:cs="Times New Roman"/>
          <w:sz w:val="28"/>
          <w:szCs w:val="28"/>
        </w:rPr>
        <w:t>的相关规定，按照《丽水市财政局关于开展</w:t>
      </w:r>
      <w:r>
        <w:rPr>
          <w:rFonts w:ascii="仿宋" w:hAnsi="仿宋" w:eastAsia="仿宋" w:cs="Times New Roman"/>
          <w:sz w:val="28"/>
          <w:szCs w:val="28"/>
        </w:rPr>
        <w:t>2019年市直财政重点绩效评价工作的通知》(丽财监督〔2019〕99号)》</w:t>
      </w:r>
      <w:r>
        <w:rPr>
          <w:rFonts w:hint="eastAsia" w:ascii="仿宋" w:hAnsi="仿宋" w:eastAsia="仿宋" w:cs="Times New Roman"/>
          <w:sz w:val="28"/>
          <w:szCs w:val="28"/>
        </w:rPr>
        <w:t>要求，受丽水市财政局的委托，我公司成立评价组，对丽水市商务局主管的</w:t>
      </w:r>
      <w:r>
        <w:rPr>
          <w:rFonts w:ascii="仿宋" w:hAnsi="仿宋" w:eastAsia="仿宋" w:cs="Times New Roman"/>
          <w:sz w:val="28"/>
          <w:szCs w:val="28"/>
        </w:rPr>
        <w:t>2016-2018年</w:t>
      </w:r>
      <w:r>
        <w:rPr>
          <w:rFonts w:hint="eastAsia" w:ascii="仿宋" w:hAnsi="仿宋" w:eastAsia="仿宋" w:cs="Times New Roman"/>
          <w:sz w:val="28"/>
          <w:szCs w:val="28"/>
        </w:rPr>
        <w:t>丽水市促进电子商务发展专项扶持政策项目进行绩效评价。评价组通过项目数据采集、资金使用情况核查、实地察看、调研座谈、问卷调查等方法对该政策开展了绩效评价，现将绩效评价情况报告如下：</w:t>
      </w:r>
    </w:p>
    <w:p>
      <w:pPr>
        <w:numPr>
          <w:ilvl w:val="0"/>
          <w:numId w:val="1"/>
        </w:numPr>
        <w:spacing w:line="520" w:lineRule="exact"/>
        <w:rPr>
          <w:rFonts w:ascii="仿宋" w:hAnsi="仿宋" w:eastAsia="仿宋" w:cs="Times New Roman"/>
          <w:b/>
          <w:sz w:val="28"/>
          <w:szCs w:val="28"/>
        </w:rPr>
      </w:pPr>
      <w:r>
        <w:rPr>
          <w:rFonts w:hint="eastAsia" w:ascii="仿宋" w:hAnsi="仿宋" w:eastAsia="仿宋" w:cs="Times New Roman"/>
          <w:b/>
          <w:sz w:val="28"/>
          <w:szCs w:val="28"/>
        </w:rPr>
        <w:t>政策背景</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为了贯彻落实“大众创业、万众创新”的方针政策，充分发挥电子商务在促进经济和社会发展中的积极作用，根据国务院和省委、省政府关于大力发展电子商务产业的有关精神，</w:t>
      </w:r>
      <w:r>
        <w:rPr>
          <w:rFonts w:ascii="仿宋" w:hAnsi="仿宋" w:eastAsia="仿宋" w:cs="Times New Roman"/>
          <w:sz w:val="28"/>
          <w:szCs w:val="28"/>
        </w:rPr>
        <w:t>2015年7月，中共丽水市委</w:t>
      </w:r>
      <w:r>
        <w:rPr>
          <w:rFonts w:hint="eastAsia" w:ascii="仿宋" w:hAnsi="仿宋" w:eastAsia="仿宋" w:cs="Times New Roman"/>
          <w:sz w:val="28"/>
          <w:szCs w:val="28"/>
        </w:rPr>
        <w:t>、</w:t>
      </w:r>
      <w:r>
        <w:rPr>
          <w:rFonts w:ascii="仿宋" w:hAnsi="仿宋" w:eastAsia="仿宋" w:cs="Times New Roman"/>
          <w:sz w:val="28"/>
          <w:szCs w:val="28"/>
        </w:rPr>
        <w:t>丽水市人民政府出台了《关于促进丽水市电子商务发展的实施意见》（丽委发〔2015〕23号</w:t>
      </w:r>
      <w:r>
        <w:rPr>
          <w:rFonts w:hint="eastAsia" w:ascii="仿宋" w:hAnsi="仿宋" w:eastAsia="仿宋" w:cs="Times New Roman"/>
          <w:sz w:val="28"/>
          <w:szCs w:val="28"/>
        </w:rPr>
        <w:t>，以下简称《实施意见》</w:t>
      </w:r>
      <w:r>
        <w:rPr>
          <w:rFonts w:ascii="仿宋" w:hAnsi="仿宋" w:eastAsia="仿宋" w:cs="Times New Roman"/>
          <w:sz w:val="28"/>
          <w:szCs w:val="28"/>
        </w:rPr>
        <w:t>）。</w:t>
      </w:r>
      <w:r>
        <w:rPr>
          <w:rFonts w:hint="eastAsia" w:ascii="仿宋" w:hAnsi="仿宋" w:eastAsia="仿宋" w:cs="Times New Roman"/>
          <w:sz w:val="28"/>
          <w:szCs w:val="28"/>
        </w:rPr>
        <w:t>按照“政府推动与</w:t>
      </w:r>
      <w:r>
        <w:rPr>
          <w:rFonts w:hint="eastAsia" w:ascii="仿宋" w:hAnsi="仿宋" w:eastAsia="仿宋" w:cs="Batang"/>
          <w:sz w:val="28"/>
          <w:szCs w:val="28"/>
        </w:rPr>
        <w:t>企业</w:t>
      </w:r>
      <w:r>
        <w:rPr>
          <w:rFonts w:hint="eastAsia" w:ascii="仿宋" w:hAnsi="仿宋" w:eastAsia="仿宋" w:cs="Times New Roman"/>
          <w:sz w:val="28"/>
          <w:szCs w:val="28"/>
        </w:rPr>
        <w:t>主导相结合、营造环境与推广应用相结合、网络经济与实体经济相结合、加快发展与加强管理相结合”原则，突出重点，注重实效，积极推进企业信息化建设，推广电子商务应用，着力营造电子商务发展的良好环境，促进丽水电子商务产业可持续繁荣发展。</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丽水市政府确定2016-2018年三年期电子商务目标为：到2018年，培育省示范电子直属企业</w:t>
      </w:r>
      <w:r>
        <w:rPr>
          <w:rFonts w:ascii="仿宋" w:hAnsi="仿宋" w:eastAsia="仿宋" w:cs="Times New Roman"/>
          <w:sz w:val="28"/>
          <w:szCs w:val="28"/>
        </w:rPr>
        <w:t>3～4</w:t>
      </w:r>
      <w:r>
        <w:rPr>
          <w:rFonts w:hint="eastAsia" w:ascii="仿宋" w:hAnsi="仿宋" w:eastAsia="仿宋" w:cs="Times New Roman"/>
          <w:sz w:val="28"/>
          <w:szCs w:val="28"/>
        </w:rPr>
        <w:t>家、省示范电子商务平台</w:t>
      </w:r>
      <w:r>
        <w:rPr>
          <w:rFonts w:ascii="仿宋" w:hAnsi="仿宋" w:eastAsia="仿宋" w:cs="Times New Roman"/>
          <w:sz w:val="28"/>
          <w:szCs w:val="28"/>
        </w:rPr>
        <w:t>1～</w:t>
      </w:r>
      <w:r>
        <w:rPr>
          <w:rFonts w:hint="eastAsia" w:ascii="仿宋" w:hAnsi="仿宋" w:eastAsia="仿宋" w:cs="Times New Roman"/>
          <w:sz w:val="28"/>
          <w:szCs w:val="28"/>
        </w:rPr>
        <w:t>3家</w:t>
      </w:r>
      <w:r>
        <w:rPr>
          <w:rFonts w:ascii="仿宋" w:hAnsi="仿宋" w:eastAsia="仿宋" w:cs="Times New Roman"/>
          <w:sz w:val="28"/>
          <w:szCs w:val="28"/>
        </w:rPr>
        <w:t>、省示范电子商务产业基地1</w:t>
      </w:r>
      <w:r>
        <w:rPr>
          <w:rFonts w:hint="eastAsia" w:ascii="仿宋" w:hAnsi="仿宋" w:eastAsia="仿宋" w:cs="Times New Roman"/>
          <w:sz w:val="28"/>
          <w:szCs w:val="28"/>
        </w:rPr>
        <w:t>～</w:t>
      </w:r>
      <w:r>
        <w:rPr>
          <w:rFonts w:ascii="仿宋" w:hAnsi="仿宋" w:eastAsia="仿宋" w:cs="Times New Roman"/>
          <w:sz w:val="28"/>
          <w:szCs w:val="28"/>
        </w:rPr>
        <w:t>2家;全市电子商务网络零售额突破200亿元，全市80％规上企</w:t>
      </w:r>
      <w:r>
        <w:rPr>
          <w:rFonts w:hint="eastAsia" w:ascii="仿宋" w:hAnsi="仿宋" w:eastAsia="仿宋" w:cs="Times New Roman"/>
          <w:sz w:val="28"/>
          <w:szCs w:val="28"/>
        </w:rPr>
        <w:t>业开展电子商务应用或生产流程互联网改造，打造</w:t>
      </w:r>
      <w:r>
        <w:rPr>
          <w:rFonts w:ascii="仿宋" w:hAnsi="仿宋" w:eastAsia="仿宋" w:cs="Times New Roman"/>
          <w:sz w:val="28"/>
          <w:szCs w:val="28"/>
        </w:rPr>
        <w:t>15万方的电</w:t>
      </w:r>
      <w:r>
        <w:rPr>
          <w:rFonts w:hint="eastAsia" w:ascii="仿宋" w:hAnsi="仿宋" w:eastAsia="仿宋" w:cs="Times New Roman"/>
          <w:sz w:val="28"/>
          <w:szCs w:val="28"/>
        </w:rPr>
        <w:t>子商务产业园区或集聚大楼等；建设</w:t>
      </w:r>
      <w:r>
        <w:rPr>
          <w:rFonts w:ascii="仿宋" w:hAnsi="仿宋" w:eastAsia="仿宋" w:cs="Times New Roman"/>
          <w:sz w:val="28"/>
          <w:szCs w:val="28"/>
        </w:rPr>
        <w:t>2500个农村电子商务服务</w:t>
      </w:r>
      <w:r>
        <w:rPr>
          <w:rFonts w:hint="eastAsia" w:ascii="仿宋" w:hAnsi="仿宋" w:eastAsia="仿宋" w:cs="Times New Roman"/>
          <w:sz w:val="28"/>
          <w:szCs w:val="28"/>
        </w:rPr>
        <w:t>站、</w:t>
      </w:r>
      <w:r>
        <w:rPr>
          <w:rFonts w:ascii="仿宋" w:hAnsi="仿宋" w:eastAsia="仿宋" w:cs="Times New Roman"/>
          <w:sz w:val="28"/>
          <w:szCs w:val="28"/>
        </w:rPr>
        <w:t>300个社区电子商务服务站，培育10个电子商务村(淘宝</w:t>
      </w:r>
      <w:r>
        <w:rPr>
          <w:rFonts w:hint="eastAsia" w:ascii="仿宋" w:hAnsi="仿宋" w:eastAsia="仿宋" w:cs="Times New Roman"/>
          <w:sz w:val="28"/>
          <w:szCs w:val="28"/>
        </w:rPr>
        <w:t>村</w:t>
      </w:r>
      <w:r>
        <w:rPr>
          <w:rFonts w:ascii="仿宋" w:hAnsi="仿宋" w:eastAsia="仿宋" w:cs="Times New Roman"/>
          <w:sz w:val="28"/>
          <w:szCs w:val="28"/>
        </w:rPr>
        <w:t>)、2个电子商务镇(淘宝镇)。</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根据</w:t>
      </w:r>
      <w:r>
        <w:rPr>
          <w:rFonts w:ascii="仿宋" w:hAnsi="仿宋" w:eastAsia="仿宋" w:cs="Times New Roman"/>
          <w:sz w:val="28"/>
          <w:szCs w:val="28"/>
        </w:rPr>
        <w:t>《</w:t>
      </w:r>
      <w:r>
        <w:rPr>
          <w:rFonts w:hint="eastAsia" w:ascii="仿宋" w:hAnsi="仿宋" w:eastAsia="仿宋" w:cs="Times New Roman"/>
          <w:sz w:val="28"/>
          <w:szCs w:val="28"/>
        </w:rPr>
        <w:t>实施意见</w:t>
      </w:r>
      <w:r>
        <w:rPr>
          <w:rFonts w:ascii="仿宋" w:hAnsi="仿宋" w:eastAsia="仿宋" w:cs="Times New Roman"/>
          <w:sz w:val="28"/>
          <w:szCs w:val="28"/>
        </w:rPr>
        <w:t>》</w:t>
      </w:r>
      <w:r>
        <w:rPr>
          <w:rFonts w:hint="eastAsia" w:ascii="仿宋" w:hAnsi="仿宋" w:eastAsia="仿宋" w:cs="Times New Roman"/>
          <w:sz w:val="28"/>
          <w:szCs w:val="28"/>
        </w:rPr>
        <w:t>精神，市财政每年安排2000万元专项资金用于促进市电子商务发展，其中</w:t>
      </w:r>
      <w:r>
        <w:rPr>
          <w:rFonts w:ascii="仿宋" w:hAnsi="仿宋" w:eastAsia="仿宋" w:cs="Times New Roman"/>
          <w:sz w:val="28"/>
          <w:szCs w:val="28"/>
        </w:rPr>
        <w:t>300万元用于农村电子商务发展。</w:t>
      </w:r>
      <w:r>
        <w:rPr>
          <w:rFonts w:hint="eastAsia" w:ascii="仿宋" w:hAnsi="仿宋" w:eastAsia="仿宋" w:cs="Times New Roman"/>
          <w:sz w:val="28"/>
          <w:szCs w:val="28"/>
        </w:rPr>
        <w:t>同时，</w:t>
      </w:r>
      <w:r>
        <w:rPr>
          <w:rFonts w:ascii="仿宋" w:hAnsi="仿宋" w:eastAsia="仿宋" w:cs="Times New Roman"/>
          <w:sz w:val="28"/>
          <w:szCs w:val="28"/>
        </w:rPr>
        <w:t>市财政局联合市商务局、团市委制定《丽水市促进电子商务发展资金管理使用办法》（丽财行〔2016〕187号），明确了2000万</w:t>
      </w:r>
      <w:r>
        <w:rPr>
          <w:rFonts w:hint="eastAsia" w:ascii="仿宋" w:hAnsi="仿宋" w:eastAsia="仿宋" w:cs="Times New Roman"/>
          <w:sz w:val="28"/>
          <w:szCs w:val="28"/>
        </w:rPr>
        <w:t>元专项</w:t>
      </w:r>
      <w:r>
        <w:rPr>
          <w:rFonts w:ascii="仿宋" w:hAnsi="仿宋" w:eastAsia="仿宋" w:cs="Times New Roman"/>
          <w:sz w:val="28"/>
          <w:szCs w:val="28"/>
        </w:rPr>
        <w:t>资金的使用范围和申报方法，确保丽水市电子商务发展</w:t>
      </w:r>
      <w:r>
        <w:rPr>
          <w:rFonts w:hint="eastAsia" w:ascii="仿宋" w:hAnsi="仿宋" w:eastAsia="仿宋" w:cs="Times New Roman"/>
          <w:sz w:val="28"/>
          <w:szCs w:val="28"/>
        </w:rPr>
        <w:t>专项</w:t>
      </w:r>
      <w:r>
        <w:rPr>
          <w:rFonts w:ascii="仿宋" w:hAnsi="仿宋" w:eastAsia="仿宋" w:cs="Times New Roman"/>
          <w:sz w:val="28"/>
          <w:szCs w:val="28"/>
        </w:rPr>
        <w:t>资金科学、合理、有效地使用。</w:t>
      </w:r>
    </w:p>
    <w:p>
      <w:pPr>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（二）政策</w:t>
      </w:r>
      <w:r>
        <w:rPr>
          <w:rFonts w:ascii="仿宋" w:hAnsi="仿宋" w:eastAsia="仿宋" w:cs="Times New Roman"/>
          <w:b/>
          <w:sz w:val="28"/>
          <w:szCs w:val="28"/>
        </w:rPr>
        <w:t>的执行情况</w:t>
      </w:r>
    </w:p>
    <w:p>
      <w:pPr>
        <w:spacing w:line="520" w:lineRule="exact"/>
        <w:rPr>
          <w:rFonts w:hint="eastAsia" w:ascii="仿宋" w:hAnsi="仿宋" w:eastAsia="仿宋" w:cs="Times New Roman"/>
          <w:sz w:val="28"/>
          <w:szCs w:val="28"/>
        </w:rPr>
      </w:pPr>
      <w:r>
        <w:rPr>
          <w:rFonts w:hint="eastAsia" w:ascii="仿宋" w:hAnsi="仿宋" w:eastAsia="仿宋" w:cs="Times New Roman"/>
          <w:sz w:val="28"/>
          <w:szCs w:val="28"/>
        </w:rPr>
        <w:t xml:space="preserve">    丽水市促进电子商务发展专项扶持政策主要包含优化发展环境、完善电子商务支撑体系、积极利用电子商务开拓国内外市场、培养电子商务人才、加大电子商务宣传力度、实施电子商务示范带动工程、建立电子商务统计监测制度、加强电子商务行业监管等方面内容。</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1、组织实施情况</w:t>
      </w:r>
    </w:p>
    <w:p>
      <w:pPr>
        <w:spacing w:line="520" w:lineRule="exact"/>
        <w:ind w:firstLine="565" w:firstLineChars="202"/>
        <w:rPr>
          <w:rFonts w:ascii="仿宋" w:hAnsi="仿宋" w:eastAsia="仿宋" w:cs="Times New Roman"/>
          <w:sz w:val="28"/>
          <w:szCs w:val="28"/>
        </w:rPr>
      </w:pPr>
      <w:r>
        <w:rPr>
          <w:rFonts w:hint="eastAsia" w:ascii="仿宋" w:hAnsi="仿宋" w:eastAsia="仿宋" w:cs="Times New Roman"/>
          <w:sz w:val="28"/>
          <w:szCs w:val="28"/>
        </w:rPr>
        <w:t>丽水市商务局为专项资金主管部门，根据《实施意见》精神，制定各项配套制度，认真落实政策，积极促使电子商务稳步发展。2016-2018年间，组织实施的主要项目有：</w:t>
      </w:r>
    </w:p>
    <w:p>
      <w:pPr>
        <w:spacing w:line="520" w:lineRule="exact"/>
        <w:ind w:left="143" w:leftChars="68" w:firstLine="422" w:firstLineChars="151"/>
        <w:rPr>
          <w:rFonts w:ascii="仿宋" w:hAnsi="仿宋" w:eastAsia="仿宋" w:cs="Times New Roman"/>
          <w:sz w:val="28"/>
          <w:szCs w:val="28"/>
        </w:rPr>
      </w:pPr>
      <w:r>
        <w:rPr>
          <w:rFonts w:hint="eastAsia" w:ascii="仿宋" w:hAnsi="仿宋" w:eastAsia="仿宋" w:cs="Times New Roman"/>
          <w:sz w:val="28"/>
          <w:szCs w:val="28"/>
        </w:rPr>
        <w:t>（1）拨付电商培训资金279.51万元，举办各类电子商务培训49期，累计培训2400多人次。</w:t>
      </w:r>
    </w:p>
    <w:p>
      <w:pPr>
        <w:spacing w:line="520" w:lineRule="exact"/>
        <w:ind w:left="143" w:leftChars="68" w:firstLine="422" w:firstLineChars="151"/>
        <w:rPr>
          <w:rFonts w:ascii="仿宋" w:hAnsi="仿宋" w:eastAsia="仿宋" w:cs="Times New Roman"/>
          <w:sz w:val="28"/>
          <w:szCs w:val="28"/>
        </w:rPr>
      </w:pPr>
      <w:r>
        <w:rPr>
          <w:rFonts w:hint="eastAsia" w:ascii="仿宋" w:hAnsi="仿宋" w:eastAsia="仿宋" w:cs="Times New Roman"/>
          <w:sz w:val="28"/>
          <w:szCs w:val="28"/>
        </w:rPr>
        <w:t>（2）拨付电商活动资金</w:t>
      </w:r>
      <w:r>
        <w:rPr>
          <w:rFonts w:ascii="仿宋" w:hAnsi="仿宋" w:eastAsia="仿宋" w:cs="Times New Roman"/>
          <w:sz w:val="28"/>
          <w:szCs w:val="28"/>
        </w:rPr>
        <w:t>687</w:t>
      </w:r>
      <w:r>
        <w:rPr>
          <w:rFonts w:hint="eastAsia" w:ascii="仿宋" w:hAnsi="仿宋" w:eastAsia="仿宋" w:cs="Times New Roman"/>
          <w:sz w:val="28"/>
          <w:szCs w:val="28"/>
        </w:rPr>
        <w:t>.67万元，举办各类电商活动，如：举办了三届中国农村电子商务大会、跨境电商峰会、丽水市电商创业创新大赛、万名淘客淘丽水活动；组织参加中国国际电商博览会、“消费促进月”及“金秋购物节”系列活动。</w:t>
      </w:r>
    </w:p>
    <w:p>
      <w:pPr>
        <w:spacing w:line="520" w:lineRule="exact"/>
        <w:ind w:left="143" w:leftChars="68" w:firstLine="560" w:firstLineChars="200"/>
        <w:rPr>
          <w:rFonts w:ascii="仿宋" w:hAnsi="仿宋" w:eastAsia="仿宋" w:cs="Times New Roman"/>
          <w:sz w:val="28"/>
          <w:szCs w:val="28"/>
        </w:rPr>
      </w:pPr>
      <w:r>
        <w:rPr>
          <w:rFonts w:hint="eastAsia" w:ascii="仿宋" w:hAnsi="仿宋" w:eastAsia="仿宋" w:cs="Times New Roman"/>
          <w:sz w:val="28"/>
          <w:szCs w:val="28"/>
        </w:rPr>
        <w:t>（3）拨付资金245万元，用于组织阿里巴巴丽水产业带广告推广服务。</w:t>
      </w:r>
    </w:p>
    <w:p>
      <w:pPr>
        <w:spacing w:line="520" w:lineRule="exact"/>
        <w:ind w:left="143" w:leftChars="68" w:firstLine="560" w:firstLineChars="200"/>
        <w:rPr>
          <w:rFonts w:ascii="仿宋" w:hAnsi="仿宋" w:eastAsia="仿宋" w:cs="Times New Roman"/>
          <w:sz w:val="28"/>
          <w:szCs w:val="28"/>
        </w:rPr>
      </w:pPr>
      <w:r>
        <w:rPr>
          <w:rFonts w:hint="eastAsia" w:ascii="仿宋" w:hAnsi="仿宋" w:eastAsia="仿宋" w:cs="Times New Roman"/>
          <w:sz w:val="28"/>
          <w:szCs w:val="28"/>
        </w:rPr>
        <w:t>（4）拨付资金200.00万元，用于建设丽水市电子商务产品检验检测中心、农产品电商化研发和大数据分析服务中心。</w:t>
      </w:r>
    </w:p>
    <w:p>
      <w:pPr>
        <w:spacing w:line="520" w:lineRule="exact"/>
        <w:ind w:left="143" w:leftChars="68" w:firstLine="560" w:firstLineChars="200"/>
        <w:rPr>
          <w:rFonts w:ascii="仿宋" w:hAnsi="仿宋" w:eastAsia="仿宋" w:cs="Times New Roman"/>
          <w:sz w:val="28"/>
          <w:szCs w:val="28"/>
        </w:rPr>
      </w:pPr>
      <w:r>
        <w:rPr>
          <w:rFonts w:hint="eastAsia" w:ascii="仿宋" w:hAnsi="仿宋" w:eastAsia="仿宋" w:cs="Times New Roman"/>
          <w:sz w:val="28"/>
          <w:szCs w:val="28"/>
        </w:rPr>
        <w:t>（5）对符合政策补助的企业实施补助198.50万元，拨付奖励资金180.80万元。</w:t>
      </w:r>
    </w:p>
    <w:p>
      <w:pPr>
        <w:spacing w:line="520" w:lineRule="exact"/>
        <w:ind w:left="143" w:leftChars="68" w:firstLine="560" w:firstLineChars="200"/>
        <w:rPr>
          <w:rFonts w:ascii="仿宋" w:hAnsi="仿宋" w:eastAsia="仿宋" w:cs="Times New Roman"/>
          <w:sz w:val="28"/>
          <w:szCs w:val="28"/>
        </w:rPr>
      </w:pPr>
      <w:r>
        <w:rPr>
          <w:rFonts w:hint="eastAsia" w:ascii="仿宋" w:hAnsi="仿宋" w:eastAsia="仿宋" w:cs="Times New Roman"/>
          <w:sz w:val="28"/>
          <w:szCs w:val="28"/>
        </w:rPr>
        <w:t>（6）拨付资金</w:t>
      </w:r>
      <w:r>
        <w:rPr>
          <w:rFonts w:ascii="仿宋" w:hAnsi="仿宋" w:eastAsia="仿宋" w:cs="Times New Roman"/>
          <w:sz w:val="28"/>
          <w:szCs w:val="28"/>
        </w:rPr>
        <w:t>1</w:t>
      </w:r>
      <w:r>
        <w:rPr>
          <w:rFonts w:hint="eastAsia" w:ascii="仿宋" w:hAnsi="仿宋" w:eastAsia="仿宋" w:cs="Times New Roman"/>
          <w:sz w:val="28"/>
          <w:szCs w:val="28"/>
        </w:rPr>
        <w:t>03.48万元，用于阿里巴巴“喵街”丽水项目运营服务项目。</w:t>
      </w:r>
    </w:p>
    <w:p>
      <w:pPr>
        <w:spacing w:line="520" w:lineRule="exact"/>
        <w:ind w:left="143" w:leftChars="68" w:firstLine="560" w:firstLineChars="200"/>
        <w:rPr>
          <w:rFonts w:ascii="仿宋" w:hAnsi="仿宋" w:eastAsia="仿宋" w:cs="Times New Roman"/>
          <w:sz w:val="28"/>
          <w:szCs w:val="28"/>
        </w:rPr>
      </w:pPr>
      <w:r>
        <w:rPr>
          <w:rFonts w:hint="eastAsia" w:ascii="仿宋" w:hAnsi="仿宋" w:eastAsia="仿宋" w:cs="Times New Roman"/>
          <w:sz w:val="28"/>
          <w:szCs w:val="28"/>
        </w:rPr>
        <w:t>2016-2018年电子商务专项资金拨付情况详见</w:t>
      </w:r>
      <w:r>
        <w:rPr>
          <w:rFonts w:hint="eastAsia" w:ascii="仿宋" w:hAnsi="仿宋" w:eastAsia="仿宋" w:cs="Times New Roman"/>
          <w:color w:val="000000"/>
          <w:sz w:val="28"/>
          <w:szCs w:val="28"/>
        </w:rPr>
        <w:t>下表：</w:t>
      </w:r>
    </w:p>
    <w:p>
      <w:pPr>
        <w:adjustRightInd w:val="0"/>
        <w:spacing w:before="100" w:beforeAutospacing="1" w:after="100" w:afterAutospacing="1" w:line="520" w:lineRule="exact"/>
        <w:ind w:right="210" w:rightChars="100" w:firstLine="369" w:firstLineChars="176"/>
        <w:contextualSpacing/>
        <w:jc w:val="right"/>
        <w:rPr>
          <w:rFonts w:ascii="仿宋" w:hAnsi="仿宋" w:eastAsia="仿宋" w:cs="Times New Roman"/>
          <w:color w:val="000000"/>
          <w:szCs w:val="21"/>
        </w:rPr>
      </w:pPr>
      <w:r>
        <w:rPr>
          <w:rFonts w:hint="eastAsia" w:ascii="仿宋" w:hAnsi="仿宋" w:eastAsia="仿宋" w:cs="Times New Roman"/>
          <w:color w:val="000000"/>
          <w:szCs w:val="21"/>
        </w:rPr>
        <w:t>单位：万元</w:t>
      </w:r>
    </w:p>
    <w:tbl>
      <w:tblPr>
        <w:tblStyle w:val="6"/>
        <w:tblW w:w="0" w:type="auto"/>
        <w:tblInd w:w="10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686"/>
        <w:gridCol w:w="2835"/>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368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100" w:lineRule="atLeast"/>
              <w:jc w:val="center"/>
              <w:rPr>
                <w:rFonts w:ascii="仿宋" w:hAnsi="仿宋" w:eastAsia="仿宋" w:cs="宋体"/>
                <w:b/>
                <w:color w:val="444444"/>
                <w:kern w:val="0"/>
                <w:sz w:val="24"/>
                <w:szCs w:val="24"/>
              </w:rPr>
            </w:pPr>
            <w:r>
              <w:rPr>
                <w:rFonts w:hint="eastAsia" w:ascii="仿宋" w:hAnsi="仿宋" w:eastAsia="仿宋" w:cs="宋体"/>
                <w:b/>
                <w:bCs/>
                <w:color w:val="444444"/>
                <w:kern w:val="0"/>
                <w:sz w:val="24"/>
                <w:szCs w:val="24"/>
              </w:rPr>
              <w:t>支出内容</w:t>
            </w:r>
          </w:p>
        </w:tc>
        <w:tc>
          <w:tcPr>
            <w:tcW w:w="2835"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spacing w:line="100" w:lineRule="atLeast"/>
              <w:jc w:val="center"/>
              <w:rPr>
                <w:rFonts w:ascii="仿宋" w:hAnsi="仿宋" w:eastAsia="仿宋" w:cs="宋体"/>
                <w:b/>
                <w:bCs/>
                <w:color w:val="444444"/>
                <w:kern w:val="0"/>
                <w:sz w:val="24"/>
                <w:szCs w:val="24"/>
              </w:rPr>
            </w:pPr>
            <w:r>
              <w:rPr>
                <w:rFonts w:hint="eastAsia" w:ascii="仿宋" w:hAnsi="仿宋" w:eastAsia="仿宋" w:cs="宋体"/>
                <w:b/>
                <w:bCs/>
                <w:color w:val="444444"/>
                <w:kern w:val="0"/>
                <w:sz w:val="24"/>
                <w:szCs w:val="24"/>
              </w:rPr>
              <w:t>支出金额</w:t>
            </w:r>
          </w:p>
          <w:p>
            <w:pPr>
              <w:widowControl/>
              <w:spacing w:line="100" w:lineRule="atLeast"/>
              <w:jc w:val="center"/>
              <w:rPr>
                <w:rFonts w:ascii="仿宋" w:hAnsi="仿宋" w:eastAsia="仿宋" w:cs="宋体"/>
                <w:b/>
                <w:color w:val="444444"/>
                <w:kern w:val="0"/>
                <w:sz w:val="24"/>
                <w:szCs w:val="24"/>
              </w:rPr>
            </w:pPr>
            <w:r>
              <w:rPr>
                <w:rFonts w:hint="eastAsia" w:ascii="仿宋" w:hAnsi="仿宋" w:eastAsia="仿宋" w:cs="宋体"/>
                <w:b/>
                <w:bCs/>
                <w:color w:val="444444"/>
                <w:kern w:val="0"/>
                <w:sz w:val="24"/>
                <w:szCs w:val="24"/>
              </w:rPr>
              <w:t>（万元）</w:t>
            </w:r>
          </w:p>
        </w:tc>
        <w:tc>
          <w:tcPr>
            <w:tcW w:w="1701" w:type="dxa"/>
            <w:tcBorders>
              <w:top w:val="single" w:color="auto" w:sz="8" w:space="0"/>
              <w:left w:val="single" w:color="auto" w:sz="8" w:space="0"/>
              <w:bottom w:val="single" w:color="auto" w:sz="8" w:space="0"/>
              <w:right w:val="single" w:color="auto" w:sz="8" w:space="0"/>
            </w:tcBorders>
            <w:shd w:val="clear" w:color="auto" w:fill="FFFFFF"/>
            <w:vAlign w:val="center"/>
          </w:tcPr>
          <w:p>
            <w:pPr>
              <w:widowControl/>
              <w:spacing w:line="100" w:lineRule="atLeast"/>
              <w:jc w:val="center"/>
              <w:rPr>
                <w:rFonts w:ascii="仿宋" w:hAnsi="仿宋" w:eastAsia="仿宋" w:cs="宋体"/>
                <w:b/>
                <w:color w:val="444444"/>
                <w:kern w:val="0"/>
                <w:sz w:val="24"/>
                <w:szCs w:val="24"/>
              </w:rPr>
            </w:pPr>
            <w:r>
              <w:rPr>
                <w:rFonts w:hint="eastAsia" w:ascii="仿宋" w:hAnsi="仿宋" w:eastAsia="仿宋" w:cs="宋体"/>
                <w:b/>
                <w:bCs/>
                <w:color w:val="444444"/>
                <w:kern w:val="0"/>
                <w:sz w:val="24"/>
                <w:szCs w:val="24"/>
              </w:rPr>
              <w:t>占比（%）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722" w:hRule="atLeast"/>
        </w:trPr>
        <w:tc>
          <w:tcPr>
            <w:tcW w:w="3686" w:type="dxa"/>
            <w:tcBorders>
              <w:top w:val="single" w:color="auto" w:sz="8" w:space="0"/>
              <w:left w:val="single" w:color="auto" w:sz="8" w:space="0"/>
              <w:bottom w:val="single" w:color="auto" w:sz="8" w:space="0"/>
              <w:right w:val="single" w:color="auto" w:sz="8" w:space="0"/>
            </w:tcBorders>
            <w:shd w:val="clear" w:color="auto" w:fill="FFFFFF"/>
          </w:tcPr>
          <w:p>
            <w:pPr>
              <w:spacing w:line="0" w:lineRule="atLeast"/>
              <w:rPr>
                <w:rFonts w:ascii="仿宋" w:hAnsi="仿宋" w:eastAsia="仿宋" w:cs="宋体"/>
                <w:bCs/>
                <w:color w:val="444444"/>
                <w:kern w:val="0"/>
                <w:sz w:val="24"/>
                <w:szCs w:val="24"/>
              </w:rPr>
            </w:pPr>
            <w:r>
              <w:rPr>
                <w:rFonts w:hint="eastAsia" w:ascii="仿宋" w:hAnsi="仿宋" w:eastAsia="仿宋" w:cs="宋体"/>
                <w:bCs/>
                <w:color w:val="444444"/>
                <w:kern w:val="0"/>
                <w:sz w:val="24"/>
                <w:szCs w:val="24"/>
              </w:rPr>
              <w:t>2016年电子商务专项（分多项目，见资金使用明细）</w:t>
            </w:r>
          </w:p>
        </w:tc>
        <w:tc>
          <w:tcPr>
            <w:tcW w:w="2835"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spacing w:line="0" w:lineRule="atLeast"/>
              <w:jc w:val="center"/>
              <w:rPr>
                <w:rFonts w:ascii="仿宋" w:hAnsi="仿宋" w:eastAsia="仿宋" w:cs="Times New Roman"/>
                <w:sz w:val="24"/>
                <w:szCs w:val="24"/>
              </w:rPr>
            </w:pPr>
            <w:r>
              <w:rPr>
                <w:rFonts w:ascii="仿宋" w:hAnsi="仿宋" w:eastAsia="仿宋" w:cs="Times New Roman"/>
                <w:sz w:val="24"/>
                <w:szCs w:val="24"/>
              </w:rPr>
              <w:t>334.9</w:t>
            </w:r>
            <w:r>
              <w:rPr>
                <w:rFonts w:hint="eastAsia" w:ascii="仿宋" w:hAnsi="仿宋" w:eastAsia="仿宋" w:cs="Times New Roman"/>
                <w:sz w:val="24"/>
                <w:szCs w:val="24"/>
              </w:rPr>
              <w:t>9</w:t>
            </w:r>
          </w:p>
        </w:tc>
        <w:tc>
          <w:tcPr>
            <w:tcW w:w="1701"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widowControl/>
              <w:spacing w:line="0" w:lineRule="atLeast"/>
              <w:jc w:val="center"/>
              <w:rPr>
                <w:rFonts w:ascii="仿宋" w:hAnsi="仿宋" w:eastAsia="仿宋" w:cs="宋体"/>
                <w:color w:val="444444"/>
                <w:kern w:val="0"/>
                <w:sz w:val="24"/>
                <w:szCs w:val="24"/>
              </w:rPr>
            </w:pPr>
            <w:r>
              <w:rPr>
                <w:rFonts w:hint="eastAsia" w:ascii="仿宋" w:hAnsi="仿宋" w:eastAsia="仿宋" w:cs="宋体"/>
                <w:color w:val="444444"/>
                <w:kern w:val="0"/>
                <w:sz w:val="24"/>
                <w:szCs w:val="24"/>
              </w:rPr>
              <w:t>13.25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90" w:hRule="atLeast"/>
        </w:trPr>
        <w:tc>
          <w:tcPr>
            <w:tcW w:w="3686"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0" w:lineRule="atLeast"/>
              <w:jc w:val="center"/>
              <w:rPr>
                <w:rFonts w:ascii="仿宋" w:hAnsi="仿宋" w:eastAsia="仿宋" w:cs="宋体"/>
                <w:bCs/>
                <w:color w:val="444444"/>
                <w:kern w:val="0"/>
                <w:sz w:val="24"/>
                <w:szCs w:val="24"/>
              </w:rPr>
            </w:pPr>
            <w:r>
              <w:rPr>
                <w:rFonts w:hint="eastAsia" w:ascii="仿宋" w:hAnsi="仿宋" w:eastAsia="仿宋" w:cs="宋体"/>
                <w:bCs/>
                <w:color w:val="444444"/>
                <w:kern w:val="0"/>
                <w:sz w:val="24"/>
                <w:szCs w:val="24"/>
              </w:rPr>
              <w:t>2017年促进电子商务发展专项资金</w:t>
            </w:r>
          </w:p>
        </w:tc>
        <w:tc>
          <w:tcPr>
            <w:tcW w:w="2835"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spacing w:line="0" w:lineRule="atLeast"/>
              <w:jc w:val="center"/>
              <w:rPr>
                <w:rFonts w:ascii="仿宋" w:hAnsi="仿宋" w:eastAsia="仿宋" w:cs="Times New Roman"/>
                <w:sz w:val="24"/>
                <w:szCs w:val="24"/>
              </w:rPr>
            </w:pPr>
            <w:r>
              <w:rPr>
                <w:rFonts w:hint="eastAsia" w:ascii="仿宋" w:hAnsi="仿宋" w:eastAsia="仿宋" w:cs="Times New Roman"/>
                <w:sz w:val="24"/>
                <w:szCs w:val="24"/>
              </w:rPr>
              <w:t>1,277.05</w:t>
            </w:r>
          </w:p>
        </w:tc>
        <w:tc>
          <w:tcPr>
            <w:tcW w:w="1701"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widowControl/>
              <w:spacing w:line="0" w:lineRule="atLeast"/>
              <w:jc w:val="center"/>
              <w:rPr>
                <w:rFonts w:ascii="仿宋" w:hAnsi="仿宋" w:eastAsia="仿宋" w:cs="宋体"/>
                <w:color w:val="444444"/>
                <w:kern w:val="0"/>
                <w:sz w:val="24"/>
                <w:szCs w:val="24"/>
              </w:rPr>
            </w:pPr>
            <w:r>
              <w:rPr>
                <w:rFonts w:hint="eastAsia" w:ascii="仿宋" w:hAnsi="仿宋" w:eastAsia="仿宋" w:cs="宋体"/>
                <w:color w:val="444444"/>
                <w:kern w:val="0"/>
                <w:sz w:val="24"/>
                <w:szCs w:val="24"/>
              </w:rPr>
              <w:t>50.5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802" w:hRule="atLeast"/>
        </w:trPr>
        <w:tc>
          <w:tcPr>
            <w:tcW w:w="3686"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0" w:lineRule="atLeast"/>
              <w:jc w:val="center"/>
              <w:rPr>
                <w:rFonts w:ascii="仿宋" w:hAnsi="仿宋" w:eastAsia="仿宋" w:cs="Times New Roman"/>
                <w:sz w:val="24"/>
                <w:szCs w:val="24"/>
              </w:rPr>
            </w:pPr>
            <w:r>
              <w:rPr>
                <w:rFonts w:hint="eastAsia" w:ascii="仿宋" w:hAnsi="仿宋" w:eastAsia="仿宋" w:cs="宋体"/>
                <w:bCs/>
                <w:color w:val="444444"/>
                <w:kern w:val="0"/>
                <w:sz w:val="24"/>
                <w:szCs w:val="24"/>
              </w:rPr>
              <w:t>2018年促进电子商务发展专项资金</w:t>
            </w:r>
          </w:p>
        </w:tc>
        <w:tc>
          <w:tcPr>
            <w:tcW w:w="2835"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spacing w:line="0" w:lineRule="atLeast"/>
              <w:jc w:val="center"/>
              <w:rPr>
                <w:rFonts w:ascii="仿宋" w:hAnsi="仿宋" w:eastAsia="仿宋" w:cs="Times New Roman"/>
                <w:sz w:val="24"/>
                <w:szCs w:val="24"/>
              </w:rPr>
            </w:pPr>
            <w:r>
              <w:rPr>
                <w:rFonts w:ascii="仿宋" w:hAnsi="仿宋" w:eastAsia="仿宋" w:cs="Times New Roman"/>
                <w:sz w:val="24"/>
                <w:szCs w:val="24"/>
              </w:rPr>
              <w:t>916.</w:t>
            </w:r>
            <w:r>
              <w:rPr>
                <w:rFonts w:hint="eastAsia" w:ascii="仿宋" w:hAnsi="仿宋" w:eastAsia="仿宋" w:cs="Times New Roman"/>
                <w:sz w:val="24"/>
                <w:szCs w:val="24"/>
              </w:rPr>
              <w:t>73</w:t>
            </w:r>
          </w:p>
        </w:tc>
        <w:tc>
          <w:tcPr>
            <w:tcW w:w="1701"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widowControl/>
              <w:spacing w:line="0" w:lineRule="atLeast"/>
              <w:jc w:val="center"/>
              <w:rPr>
                <w:rFonts w:ascii="仿宋" w:hAnsi="仿宋" w:eastAsia="仿宋" w:cs="宋体"/>
                <w:color w:val="444444"/>
                <w:kern w:val="0"/>
                <w:sz w:val="24"/>
                <w:szCs w:val="24"/>
              </w:rPr>
            </w:pPr>
            <w:r>
              <w:rPr>
                <w:rFonts w:hint="eastAsia" w:ascii="仿宋" w:hAnsi="仿宋" w:eastAsia="仿宋" w:cs="宋体"/>
                <w:color w:val="444444"/>
                <w:kern w:val="0"/>
                <w:sz w:val="24"/>
                <w:szCs w:val="24"/>
              </w:rPr>
              <w:t>36.25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84" w:hRule="atLeast"/>
        </w:trPr>
        <w:tc>
          <w:tcPr>
            <w:tcW w:w="3686"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0" w:lineRule="atLeast"/>
              <w:ind w:firstLine="1446" w:firstLineChars="600"/>
              <w:rPr>
                <w:rFonts w:ascii="仿宋" w:hAnsi="仿宋" w:eastAsia="仿宋" w:cs="Times New Roman"/>
                <w:b/>
                <w:sz w:val="24"/>
                <w:szCs w:val="24"/>
              </w:rPr>
            </w:pPr>
            <w:r>
              <w:rPr>
                <w:rFonts w:hint="eastAsia" w:ascii="仿宋" w:hAnsi="仿宋" w:eastAsia="仿宋" w:cs="宋体"/>
                <w:b/>
                <w:bCs/>
                <w:color w:val="444444"/>
                <w:kern w:val="0"/>
                <w:sz w:val="24"/>
                <w:szCs w:val="24"/>
              </w:rPr>
              <w:t>合  计</w:t>
            </w:r>
          </w:p>
        </w:tc>
        <w:tc>
          <w:tcPr>
            <w:tcW w:w="2835"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spacing w:line="0" w:lineRule="atLeast"/>
              <w:jc w:val="center"/>
              <w:rPr>
                <w:rFonts w:ascii="仿宋" w:hAnsi="仿宋" w:eastAsia="仿宋" w:cs="Times New Roman"/>
                <w:b/>
                <w:sz w:val="24"/>
                <w:szCs w:val="24"/>
              </w:rPr>
            </w:pPr>
            <w:r>
              <w:rPr>
                <w:rFonts w:ascii="仿宋" w:hAnsi="仿宋" w:eastAsia="仿宋" w:cs="Times New Roman"/>
                <w:b/>
                <w:sz w:val="24"/>
                <w:szCs w:val="24"/>
              </w:rPr>
              <w:t>2,528.</w:t>
            </w:r>
            <w:r>
              <w:rPr>
                <w:rFonts w:hint="eastAsia" w:ascii="仿宋" w:hAnsi="仿宋" w:eastAsia="仿宋" w:cs="Times New Roman"/>
                <w:b/>
                <w:sz w:val="24"/>
                <w:szCs w:val="24"/>
              </w:rPr>
              <w:t>77</w:t>
            </w:r>
          </w:p>
        </w:tc>
        <w:tc>
          <w:tcPr>
            <w:tcW w:w="1701" w:type="dxa"/>
            <w:tcBorders>
              <w:top w:val="single" w:color="auto" w:sz="0" w:space="0"/>
              <w:left w:val="single" w:color="auto" w:sz="0" w:space="0"/>
              <w:bottom w:val="outset" w:color="auto" w:sz="6" w:space="0"/>
              <w:right w:val="single" w:color="auto" w:sz="8" w:space="0"/>
            </w:tcBorders>
            <w:shd w:val="clear" w:color="auto" w:fill="FFFFFF"/>
            <w:tcMar>
              <w:top w:w="0" w:type="dxa"/>
              <w:left w:w="108" w:type="dxa"/>
              <w:bottom w:w="0" w:type="dxa"/>
              <w:right w:w="108" w:type="dxa"/>
            </w:tcMar>
            <w:vAlign w:val="center"/>
          </w:tcPr>
          <w:p>
            <w:pPr>
              <w:spacing w:line="0" w:lineRule="atLeast"/>
              <w:jc w:val="center"/>
              <w:rPr>
                <w:rFonts w:ascii="仿宋" w:hAnsi="仿宋" w:eastAsia="仿宋" w:cs="Times New Roman"/>
                <w:b/>
                <w:sz w:val="24"/>
                <w:szCs w:val="24"/>
              </w:rPr>
            </w:pPr>
            <w:r>
              <w:rPr>
                <w:rFonts w:hint="eastAsia" w:ascii="仿宋" w:hAnsi="仿宋" w:eastAsia="仿宋" w:cs="Times New Roman"/>
                <w:b/>
                <w:sz w:val="24"/>
                <w:szCs w:val="24"/>
              </w:rPr>
              <w:t>100.00</w:t>
            </w:r>
          </w:p>
        </w:tc>
      </w:tr>
    </w:tbl>
    <w:p>
      <w:pPr>
        <w:spacing w:line="520" w:lineRule="exact"/>
        <w:ind w:firstLine="700" w:firstLineChars="250"/>
        <w:rPr>
          <w:rFonts w:ascii="仿宋" w:hAnsi="仿宋" w:eastAsia="仿宋" w:cs="Times New Roman"/>
          <w:sz w:val="28"/>
          <w:szCs w:val="28"/>
        </w:rPr>
      </w:pPr>
      <w:r>
        <w:rPr>
          <w:rFonts w:hint="eastAsia" w:ascii="仿宋" w:hAnsi="仿宋" w:eastAsia="仿宋" w:cs="Times New Roman"/>
          <w:sz w:val="28"/>
          <w:szCs w:val="28"/>
        </w:rPr>
        <w:t>2、项目资金使用情况</w:t>
      </w:r>
    </w:p>
    <w:p>
      <w:pPr>
        <w:spacing w:line="520" w:lineRule="exact"/>
        <w:ind w:left="143" w:leftChars="68" w:firstLine="560" w:firstLineChars="200"/>
        <w:rPr>
          <w:rFonts w:hint="eastAsia" w:ascii="仿宋" w:hAnsi="仿宋" w:eastAsia="仿宋" w:cs="Times New Roman"/>
          <w:sz w:val="28"/>
          <w:szCs w:val="28"/>
        </w:rPr>
      </w:pPr>
      <w:r>
        <w:rPr>
          <w:rFonts w:hint="eastAsia" w:ascii="仿宋" w:hAnsi="仿宋" w:eastAsia="仿宋" w:cs="Times New Roman"/>
          <w:sz w:val="28"/>
          <w:szCs w:val="28"/>
        </w:rPr>
        <w:t>丽水市电子商务专项资金的使用基本符合《丽水市促进电子商务发展资金管理使用办法》、《丽水市商务局电子商务专项资金管理与监督办法》等规定。在资金使用过程中，根据丽水市商务局商务促进政策专项资金使用管理暂行办法、预算管理办法、收支管理办法、政府采购管理办法、建设项目管理办法、合同管理办法、内审管理办法等相关规定，严格按照资金使用计划安排支出，与项目预期绩效基本一致。主要资金使用明细表如下：</w:t>
      </w:r>
    </w:p>
    <w:p>
      <w:pPr>
        <w:spacing w:line="520" w:lineRule="exact"/>
        <w:ind w:left="143" w:leftChars="68" w:firstLine="602" w:firstLineChars="250"/>
        <w:rPr>
          <w:rFonts w:hint="eastAsia" w:ascii="仿宋" w:hAnsi="仿宋" w:eastAsia="仿宋" w:cs="Times New Roman"/>
          <w:b/>
          <w:sz w:val="24"/>
          <w:szCs w:val="24"/>
        </w:rPr>
      </w:pPr>
      <w:r>
        <w:rPr>
          <w:rFonts w:hint="eastAsia" w:ascii="仿宋" w:hAnsi="仿宋" w:eastAsia="仿宋" w:cs="Times New Roman"/>
          <w:b/>
          <w:sz w:val="24"/>
          <w:szCs w:val="24"/>
        </w:rPr>
        <w:t xml:space="preserve">丽水市电子商务专项资金的使用明细表(2016-2018)                         </w:t>
      </w:r>
    </w:p>
    <w:p>
      <w:pPr>
        <w:spacing w:line="520" w:lineRule="exact"/>
        <w:ind w:left="143" w:leftChars="68" w:firstLine="5325" w:firstLineChars="2210"/>
        <w:rPr>
          <w:rFonts w:ascii="仿宋" w:hAnsi="仿宋" w:eastAsia="仿宋" w:cs="Times New Roman"/>
          <w:b/>
          <w:sz w:val="24"/>
          <w:szCs w:val="24"/>
        </w:rPr>
      </w:pPr>
      <w:r>
        <w:rPr>
          <w:rFonts w:hint="eastAsia" w:ascii="仿宋" w:hAnsi="仿宋" w:eastAsia="仿宋" w:cs="Times New Roman"/>
          <w:b/>
          <w:sz w:val="24"/>
          <w:szCs w:val="24"/>
        </w:rPr>
        <w:t>金额单位：万元</w:t>
      </w:r>
    </w:p>
    <w:tbl>
      <w:tblPr>
        <w:tblStyle w:val="6"/>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4621"/>
        <w:gridCol w:w="1776"/>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序号</w:t>
            </w:r>
          </w:p>
        </w:tc>
        <w:tc>
          <w:tcPr>
            <w:tcW w:w="4621" w:type="dxa"/>
            <w:shd w:val="clear" w:color="auto" w:fill="auto"/>
          </w:tcPr>
          <w:p>
            <w:pPr>
              <w:spacing w:line="520" w:lineRule="exact"/>
              <w:ind w:firstLine="360" w:firstLineChars="150"/>
              <w:jc w:val="center"/>
              <w:rPr>
                <w:rFonts w:ascii="仿宋" w:hAnsi="仿宋" w:eastAsia="仿宋" w:cs="Times New Roman"/>
                <w:sz w:val="24"/>
                <w:szCs w:val="24"/>
              </w:rPr>
            </w:pPr>
            <w:r>
              <w:rPr>
                <w:rFonts w:hint="eastAsia" w:ascii="仿宋" w:hAnsi="仿宋" w:eastAsia="仿宋" w:cs="Times New Roman"/>
                <w:sz w:val="24"/>
                <w:szCs w:val="24"/>
              </w:rPr>
              <w:t>资 金 内 容</w:t>
            </w:r>
          </w:p>
        </w:tc>
        <w:tc>
          <w:tcPr>
            <w:tcW w:w="1776"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金  额</w:t>
            </w:r>
          </w:p>
        </w:tc>
        <w:tc>
          <w:tcPr>
            <w:tcW w:w="141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电子商务活动</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687.67</w:t>
            </w:r>
          </w:p>
        </w:tc>
        <w:tc>
          <w:tcPr>
            <w:tcW w:w="1411" w:type="dxa"/>
            <w:shd w:val="clear" w:color="auto" w:fill="auto"/>
            <w:vAlign w:val="bottom"/>
          </w:tcPr>
          <w:p>
            <w:pPr>
              <w:spacing w:line="520" w:lineRule="exact"/>
              <w:jc w:val="right"/>
              <w:rPr>
                <w:rFonts w:ascii="仿宋" w:hAnsi="仿宋" w:eastAsia="仿宋" w:cs="Times New Roman"/>
                <w:bCs/>
                <w:szCs w:val="21"/>
              </w:rPr>
            </w:pPr>
            <w:r>
              <w:rPr>
                <w:rFonts w:hint="eastAsia" w:ascii="仿宋" w:hAnsi="仿宋" w:eastAsia="仿宋" w:cs="Times New Roman"/>
                <w:bCs/>
                <w:szCs w:val="21"/>
              </w:rPr>
              <w:t>27.19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2</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电子商务培训</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279.51</w:t>
            </w:r>
          </w:p>
        </w:tc>
        <w:tc>
          <w:tcPr>
            <w:tcW w:w="1411" w:type="dxa"/>
            <w:shd w:val="clear" w:color="auto" w:fill="auto"/>
            <w:vAlign w:val="bottom"/>
          </w:tcPr>
          <w:p>
            <w:pPr>
              <w:spacing w:line="520" w:lineRule="exact"/>
              <w:jc w:val="right"/>
              <w:rPr>
                <w:rFonts w:ascii="仿宋" w:hAnsi="仿宋" w:eastAsia="仿宋" w:cs="Times New Roman"/>
                <w:bCs/>
                <w:szCs w:val="21"/>
              </w:rPr>
            </w:pPr>
            <w:r>
              <w:rPr>
                <w:rFonts w:hint="eastAsia" w:ascii="仿宋" w:hAnsi="仿宋" w:eastAsia="仿宋" w:cs="Times New Roman"/>
                <w:bCs/>
                <w:szCs w:val="21"/>
              </w:rPr>
              <w:t>11.05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3</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阿里巴巴</w:t>
            </w:r>
            <w:r>
              <w:rPr>
                <w:rFonts w:hint="eastAsia" w:ascii="宋体" w:hAnsi="宋体" w:eastAsia="宋体" w:cs="宋体"/>
                <w:bCs/>
                <w:color w:val="000000"/>
                <w:szCs w:val="21"/>
              </w:rPr>
              <w:t>•</w:t>
            </w:r>
            <w:r>
              <w:rPr>
                <w:rFonts w:hint="eastAsia" w:ascii="仿宋" w:hAnsi="仿宋" w:eastAsia="仿宋" w:cs="仿宋"/>
                <w:bCs/>
                <w:color w:val="000000"/>
                <w:szCs w:val="21"/>
              </w:rPr>
              <w:t>丽水产业带项目</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245.00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4</w:t>
            </w:r>
          </w:p>
        </w:tc>
        <w:tc>
          <w:tcPr>
            <w:tcW w:w="4621" w:type="dxa"/>
            <w:shd w:val="clear" w:color="auto" w:fill="auto"/>
            <w:vAlign w:val="center"/>
          </w:tcPr>
          <w:p>
            <w:pPr>
              <w:spacing w:line="100" w:lineRule="atLeast"/>
              <w:rPr>
                <w:rFonts w:ascii="仿宋" w:hAnsi="仿宋" w:eastAsia="仿宋" w:cs="宋体"/>
                <w:bCs/>
                <w:color w:val="000000"/>
                <w:szCs w:val="21"/>
              </w:rPr>
            </w:pPr>
            <w:r>
              <w:rPr>
                <w:rFonts w:hint="eastAsia" w:ascii="仿宋" w:hAnsi="仿宋" w:eastAsia="仿宋" w:cs="Times New Roman"/>
                <w:bCs/>
                <w:color w:val="000000"/>
                <w:szCs w:val="21"/>
              </w:rPr>
              <w:t>建设丽水市电子商务产品检验检测中心、农产品电商化研发和大数据分析服务中心</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200.00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5</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对企业的补助（E邮柜）</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198.50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6</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奖励资金</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180.80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7</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阿里巴巴“喵街”丽水项目运营服务</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103.48</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8</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丽水市特色产品O2O项目</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99.41</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9</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预算划拨给莲都区财政支付</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90.00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10</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丽水市电商创业创新大赛</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89.55</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11</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预算划拨给县财政补助企业</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70.00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12</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支持新建社区电商服务站</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56.30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13</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预算划拨给检验检测院</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50.00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14</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中国（浙江）首届农村电商讲师大赛承办费用</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48.60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15</w:t>
            </w:r>
          </w:p>
        </w:tc>
        <w:tc>
          <w:tcPr>
            <w:tcW w:w="4621" w:type="dxa"/>
            <w:shd w:val="clear" w:color="auto" w:fill="auto"/>
            <w:vAlign w:val="center"/>
          </w:tcPr>
          <w:p>
            <w:pPr>
              <w:spacing w:line="100" w:lineRule="atLeast"/>
              <w:rPr>
                <w:rFonts w:ascii="仿宋" w:hAnsi="仿宋" w:eastAsia="仿宋" w:cs="宋体"/>
                <w:bCs/>
                <w:color w:val="000000"/>
                <w:szCs w:val="21"/>
              </w:rPr>
            </w:pPr>
            <w:r>
              <w:rPr>
                <w:rFonts w:hint="eastAsia" w:ascii="仿宋" w:hAnsi="仿宋" w:eastAsia="仿宋" w:cs="Times New Roman"/>
                <w:bCs/>
                <w:color w:val="000000"/>
                <w:szCs w:val="21"/>
              </w:rPr>
              <w:t>浙江省电子商务促进中心购买（升级版）大数据服务</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45.00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16</w:t>
            </w:r>
          </w:p>
        </w:tc>
        <w:tc>
          <w:tcPr>
            <w:tcW w:w="4621" w:type="dxa"/>
            <w:shd w:val="clear" w:color="auto" w:fill="auto"/>
            <w:vAlign w:val="center"/>
          </w:tcPr>
          <w:p>
            <w:pPr>
              <w:spacing w:line="520" w:lineRule="exact"/>
              <w:rPr>
                <w:rFonts w:ascii="仿宋" w:hAnsi="仿宋" w:eastAsia="仿宋" w:cs="宋体"/>
                <w:bCs/>
                <w:color w:val="000000"/>
                <w:szCs w:val="21"/>
              </w:rPr>
            </w:pPr>
            <w:r>
              <w:rPr>
                <w:rFonts w:hint="eastAsia" w:ascii="仿宋" w:hAnsi="仿宋" w:eastAsia="仿宋" w:cs="Times New Roman"/>
                <w:bCs/>
                <w:color w:val="000000"/>
                <w:szCs w:val="21"/>
              </w:rPr>
              <w:t>消费促进月系列活动</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19.50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17</w:t>
            </w:r>
          </w:p>
        </w:tc>
        <w:tc>
          <w:tcPr>
            <w:tcW w:w="4621" w:type="dxa"/>
            <w:shd w:val="clear" w:color="auto" w:fill="auto"/>
            <w:vAlign w:val="center"/>
          </w:tcPr>
          <w:p>
            <w:pPr>
              <w:spacing w:line="100" w:lineRule="atLeast"/>
              <w:rPr>
                <w:rFonts w:ascii="仿宋" w:hAnsi="仿宋" w:eastAsia="仿宋" w:cs="宋体"/>
                <w:bCs/>
                <w:color w:val="000000"/>
                <w:szCs w:val="21"/>
              </w:rPr>
            </w:pPr>
            <w:r>
              <w:rPr>
                <w:rFonts w:hint="eastAsia" w:ascii="仿宋" w:hAnsi="仿宋" w:eastAsia="仿宋" w:cs="Times New Roman"/>
                <w:bCs/>
                <w:color w:val="000000"/>
                <w:szCs w:val="21"/>
              </w:rPr>
              <w:t>丽水市跨境电商峰会暨丽水市电商公共服务资源巡回对接活动</w:t>
            </w:r>
          </w:p>
        </w:tc>
        <w:tc>
          <w:tcPr>
            <w:tcW w:w="1776" w:type="dxa"/>
            <w:shd w:val="clear" w:color="auto" w:fill="auto"/>
            <w:vAlign w:val="bottom"/>
          </w:tcPr>
          <w:p>
            <w:pPr>
              <w:spacing w:line="520" w:lineRule="exact"/>
              <w:jc w:val="right"/>
              <w:rPr>
                <w:rFonts w:ascii="仿宋" w:hAnsi="仿宋" w:eastAsia="仿宋" w:cs="宋体"/>
                <w:bCs/>
                <w:szCs w:val="21"/>
              </w:rPr>
            </w:pPr>
            <w:r>
              <w:rPr>
                <w:rFonts w:hint="eastAsia" w:ascii="仿宋" w:hAnsi="仿宋" w:eastAsia="仿宋" w:cs="Times New Roman"/>
                <w:bCs/>
                <w:szCs w:val="21"/>
              </w:rPr>
              <w:t>17.00</w:t>
            </w:r>
          </w:p>
        </w:tc>
        <w:tc>
          <w:tcPr>
            <w:tcW w:w="1411" w:type="dxa"/>
            <w:shd w:val="clear" w:color="auto" w:fill="auto"/>
            <w:vAlign w:val="bottom"/>
          </w:tcPr>
          <w:p>
            <w:pPr>
              <w:spacing w:line="520" w:lineRule="exact"/>
              <w:jc w:val="right"/>
              <w:rPr>
                <w:rFonts w:ascii="仿宋" w:hAnsi="仿宋" w:eastAsia="仿宋" w:cs="宋体"/>
                <w:szCs w:val="21"/>
              </w:rPr>
            </w:pPr>
            <w:r>
              <w:rPr>
                <w:rFonts w:hint="eastAsia" w:ascii="仿宋" w:hAnsi="仿宋" w:eastAsia="仿宋" w:cs="Times New Roman"/>
                <w:szCs w:val="21"/>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18</w:t>
            </w:r>
          </w:p>
        </w:tc>
        <w:tc>
          <w:tcPr>
            <w:tcW w:w="4621" w:type="dxa"/>
            <w:shd w:val="clear" w:color="auto" w:fill="auto"/>
          </w:tcPr>
          <w:p>
            <w:pPr>
              <w:spacing w:line="520" w:lineRule="exact"/>
              <w:jc w:val="left"/>
              <w:rPr>
                <w:rFonts w:ascii="仿宋" w:hAnsi="仿宋" w:eastAsia="仿宋" w:cs="Times New Roman"/>
                <w:szCs w:val="21"/>
              </w:rPr>
            </w:pPr>
            <w:r>
              <w:rPr>
                <w:rFonts w:hint="eastAsia" w:ascii="仿宋" w:hAnsi="仿宋" w:eastAsia="仿宋" w:cs="Times New Roman"/>
                <w:szCs w:val="21"/>
              </w:rPr>
              <w:t>其它</w:t>
            </w:r>
          </w:p>
        </w:tc>
        <w:tc>
          <w:tcPr>
            <w:tcW w:w="1776" w:type="dxa"/>
            <w:shd w:val="clear" w:color="auto" w:fill="auto"/>
          </w:tcPr>
          <w:p>
            <w:pPr>
              <w:spacing w:line="520" w:lineRule="exact"/>
              <w:jc w:val="right"/>
              <w:rPr>
                <w:rFonts w:ascii="仿宋" w:hAnsi="仿宋" w:eastAsia="仿宋" w:cs="Times New Roman"/>
                <w:szCs w:val="21"/>
              </w:rPr>
            </w:pPr>
            <w:r>
              <w:rPr>
                <w:rFonts w:hint="eastAsia" w:ascii="仿宋" w:hAnsi="仿宋" w:eastAsia="仿宋" w:cs="Times New Roman"/>
                <w:szCs w:val="21"/>
              </w:rPr>
              <w:t>48.44</w:t>
            </w:r>
          </w:p>
        </w:tc>
        <w:tc>
          <w:tcPr>
            <w:tcW w:w="1411" w:type="dxa"/>
            <w:shd w:val="clear" w:color="auto" w:fill="auto"/>
          </w:tcPr>
          <w:p>
            <w:pPr>
              <w:spacing w:line="520" w:lineRule="exact"/>
              <w:jc w:val="right"/>
              <w:rPr>
                <w:rFonts w:ascii="仿宋" w:hAnsi="仿宋" w:eastAsia="仿宋" w:cs="Times New Roman"/>
                <w:szCs w:val="21"/>
              </w:rPr>
            </w:pPr>
            <w:r>
              <w:rPr>
                <w:rFonts w:hint="eastAsia" w:ascii="仿宋" w:hAnsi="仿宋" w:eastAsia="仿宋" w:cs="Times New Roman"/>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2" w:type="dxa"/>
            <w:gridSpan w:val="2"/>
            <w:shd w:val="clear" w:color="auto" w:fill="auto"/>
          </w:tcPr>
          <w:p>
            <w:pPr>
              <w:spacing w:line="520" w:lineRule="exact"/>
              <w:jc w:val="center"/>
              <w:rPr>
                <w:rFonts w:ascii="仿宋" w:hAnsi="仿宋" w:eastAsia="仿宋" w:cs="Times New Roman"/>
                <w:sz w:val="24"/>
                <w:szCs w:val="24"/>
              </w:rPr>
            </w:pPr>
            <w:r>
              <w:rPr>
                <w:rFonts w:hint="eastAsia" w:ascii="仿宋" w:hAnsi="仿宋" w:eastAsia="仿宋" w:cs="Times New Roman"/>
                <w:sz w:val="24"/>
                <w:szCs w:val="24"/>
              </w:rPr>
              <w:t>合    计</w:t>
            </w:r>
          </w:p>
        </w:tc>
        <w:tc>
          <w:tcPr>
            <w:tcW w:w="1776" w:type="dxa"/>
            <w:shd w:val="clear" w:color="auto" w:fill="auto"/>
          </w:tcPr>
          <w:p>
            <w:pPr>
              <w:spacing w:line="520" w:lineRule="exact"/>
              <w:jc w:val="right"/>
              <w:rPr>
                <w:rFonts w:ascii="仿宋" w:hAnsi="仿宋" w:eastAsia="仿宋" w:cs="Times New Roman"/>
                <w:sz w:val="24"/>
                <w:szCs w:val="24"/>
              </w:rPr>
            </w:pPr>
            <w:r>
              <w:rPr>
                <w:rFonts w:ascii="仿宋" w:hAnsi="仿宋" w:eastAsia="仿宋" w:cs="Times New Roman"/>
                <w:sz w:val="24"/>
                <w:szCs w:val="24"/>
              </w:rPr>
              <w:t>2</w:t>
            </w:r>
            <w:r>
              <w:rPr>
                <w:rFonts w:hint="eastAsia" w:ascii="仿宋" w:hAnsi="仿宋" w:eastAsia="仿宋" w:cs="Times New Roman"/>
                <w:sz w:val="24"/>
                <w:szCs w:val="24"/>
              </w:rPr>
              <w:t>,528.77</w:t>
            </w:r>
          </w:p>
        </w:tc>
        <w:tc>
          <w:tcPr>
            <w:tcW w:w="1411" w:type="dxa"/>
            <w:shd w:val="clear" w:color="auto" w:fill="auto"/>
          </w:tcPr>
          <w:p>
            <w:pPr>
              <w:spacing w:line="520" w:lineRule="exact"/>
              <w:jc w:val="right"/>
              <w:rPr>
                <w:rFonts w:ascii="仿宋" w:hAnsi="仿宋" w:eastAsia="仿宋" w:cs="Times New Roman"/>
                <w:sz w:val="24"/>
                <w:szCs w:val="24"/>
              </w:rPr>
            </w:pPr>
            <w:r>
              <w:rPr>
                <w:rFonts w:hint="eastAsia" w:ascii="仿宋" w:hAnsi="仿宋" w:eastAsia="仿宋" w:cs="Times New Roman"/>
                <w:sz w:val="24"/>
                <w:szCs w:val="24"/>
              </w:rPr>
              <w:t>100</w:t>
            </w:r>
          </w:p>
        </w:tc>
      </w:tr>
    </w:tbl>
    <w:p>
      <w:pPr>
        <w:spacing w:line="520" w:lineRule="exact"/>
        <w:ind w:firstLine="551" w:firstLineChars="196"/>
        <w:rPr>
          <w:rFonts w:hint="eastAsia" w:ascii="仿宋" w:hAnsi="仿宋" w:eastAsia="仿宋" w:cs="Times New Roman"/>
          <w:b/>
          <w:sz w:val="28"/>
          <w:szCs w:val="28"/>
        </w:rPr>
      </w:pPr>
    </w:p>
    <w:p>
      <w:pPr>
        <w:spacing w:line="520" w:lineRule="exact"/>
        <w:ind w:firstLine="551" w:firstLineChars="196"/>
        <w:rPr>
          <w:rFonts w:ascii="仿宋" w:hAnsi="仿宋" w:eastAsia="仿宋" w:cs="Times New Roman"/>
          <w:b/>
          <w:sz w:val="28"/>
          <w:szCs w:val="28"/>
        </w:rPr>
      </w:pPr>
      <w:r>
        <w:rPr>
          <w:rFonts w:hint="eastAsia" w:ascii="仿宋" w:hAnsi="仿宋" w:eastAsia="仿宋" w:cs="Times New Roman"/>
          <w:b/>
          <w:sz w:val="28"/>
          <w:szCs w:val="28"/>
        </w:rPr>
        <w:t>（三）政策实施取得绩效</w:t>
      </w:r>
    </w:p>
    <w:p>
      <w:pPr>
        <w:spacing w:line="520" w:lineRule="exact"/>
        <w:ind w:firstLine="551" w:firstLineChars="196"/>
        <w:rPr>
          <w:rFonts w:ascii="仿宋" w:hAnsi="仿宋" w:eastAsia="仿宋" w:cs="Times New Roman"/>
          <w:b/>
          <w:sz w:val="28"/>
          <w:szCs w:val="28"/>
        </w:rPr>
      </w:pPr>
      <w:r>
        <w:rPr>
          <w:rFonts w:hint="eastAsia" w:ascii="仿宋" w:hAnsi="仿宋" w:eastAsia="仿宋" w:cs="Times New Roman"/>
          <w:b/>
          <w:sz w:val="28"/>
          <w:szCs w:val="28"/>
        </w:rPr>
        <w:t>1、通过电商培训，促进电子商务人才发展</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为培养电子商务人才，健全电子商务创业服务体系，加强电子商务专业人才队伍建设，2016-2018年，丽水市商务局通过市电子商务公共服务中心、浙江讯唯电子商务有限公司、丽水农村电商学院等单位开展不同层次、不同类型的电子商务培训班共</w:t>
      </w:r>
      <w:r>
        <w:rPr>
          <w:rFonts w:ascii="仿宋" w:hAnsi="仿宋" w:eastAsia="仿宋" w:cs="Times New Roman"/>
          <w:sz w:val="28"/>
          <w:szCs w:val="28"/>
        </w:rPr>
        <w:t>49期（其中：2016年16期、2017年15期、2018年18期），培训人数达2400多人次</w:t>
      </w:r>
      <w:r>
        <w:rPr>
          <w:rFonts w:hint="eastAsia" w:ascii="仿宋" w:hAnsi="仿宋" w:eastAsia="仿宋" w:cs="Times New Roman"/>
          <w:sz w:val="28"/>
          <w:szCs w:val="28"/>
        </w:rPr>
        <w:t>。培训课程有淘宝实战提升培训班、天猫营销培训班、农村电商、跨境电商、技能考级等各类培训班，</w:t>
      </w:r>
      <w:r>
        <w:rPr>
          <w:rFonts w:ascii="仿宋" w:hAnsi="仿宋" w:eastAsia="仿宋" w:cs="Times New Roman"/>
          <w:sz w:val="28"/>
          <w:szCs w:val="28"/>
        </w:rPr>
        <w:t>为</w:t>
      </w:r>
      <w:r>
        <w:rPr>
          <w:rFonts w:hint="eastAsia" w:ascii="仿宋" w:hAnsi="仿宋" w:eastAsia="仿宋" w:cs="Times New Roman"/>
          <w:sz w:val="28"/>
          <w:szCs w:val="28"/>
        </w:rPr>
        <w:t>丽水</w:t>
      </w:r>
      <w:r>
        <w:rPr>
          <w:rFonts w:ascii="仿宋" w:hAnsi="仿宋" w:eastAsia="仿宋" w:cs="Times New Roman"/>
          <w:sz w:val="28"/>
          <w:szCs w:val="28"/>
        </w:rPr>
        <w:t>市电子商务发展奠定了</w:t>
      </w:r>
      <w:r>
        <w:rPr>
          <w:rFonts w:hint="eastAsia" w:ascii="仿宋" w:hAnsi="仿宋" w:eastAsia="仿宋" w:cs="Times New Roman"/>
          <w:sz w:val="28"/>
          <w:szCs w:val="28"/>
        </w:rPr>
        <w:t>良好的</w:t>
      </w:r>
      <w:r>
        <w:rPr>
          <w:rFonts w:ascii="仿宋" w:hAnsi="仿宋" w:eastAsia="仿宋" w:cs="Times New Roman"/>
          <w:sz w:val="28"/>
          <w:szCs w:val="28"/>
        </w:rPr>
        <w:t>人才基础</w:t>
      </w:r>
      <w:r>
        <w:rPr>
          <w:rFonts w:hint="eastAsia" w:ascii="仿宋" w:hAnsi="仿宋" w:eastAsia="仿宋" w:cs="Times New Roman"/>
          <w:sz w:val="28"/>
          <w:szCs w:val="28"/>
        </w:rPr>
        <w:t>。</w:t>
      </w:r>
    </w:p>
    <w:p>
      <w:pPr>
        <w:spacing w:line="520" w:lineRule="exact"/>
        <w:ind w:firstLine="551" w:firstLineChars="196"/>
        <w:rPr>
          <w:rFonts w:ascii="仿宋" w:hAnsi="仿宋" w:eastAsia="仿宋" w:cs="Times New Roman"/>
          <w:b/>
          <w:sz w:val="28"/>
          <w:szCs w:val="28"/>
        </w:rPr>
      </w:pPr>
      <w:r>
        <w:rPr>
          <w:rFonts w:hint="eastAsia" w:ascii="仿宋" w:hAnsi="仿宋" w:eastAsia="仿宋" w:cs="Times New Roman"/>
          <w:b/>
          <w:sz w:val="28"/>
          <w:szCs w:val="28"/>
        </w:rPr>
        <w:t>2、举办各类电商活动，促进电商品牌推广</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（1）举办多次全国性农村电商大会</w:t>
      </w:r>
    </w:p>
    <w:p>
      <w:pPr>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2016-2018</w:t>
      </w:r>
      <w:r>
        <w:rPr>
          <w:rFonts w:hint="eastAsia" w:ascii="仿宋" w:hAnsi="仿宋" w:eastAsia="仿宋" w:cs="Times New Roman"/>
          <w:sz w:val="28"/>
          <w:szCs w:val="28"/>
        </w:rPr>
        <w:t>年</w:t>
      </w:r>
      <w:r>
        <w:rPr>
          <w:rFonts w:ascii="仿宋" w:hAnsi="仿宋" w:eastAsia="仿宋" w:cs="Times New Roman"/>
          <w:sz w:val="28"/>
          <w:szCs w:val="28"/>
        </w:rPr>
        <w:t>，先后举办了三届中国农村电子商务大会，来自全国20个省（市、自治区）政府和商务部门领导、企业代表、高校</w:t>
      </w:r>
      <w:r>
        <w:rPr>
          <w:rFonts w:hint="eastAsia" w:ascii="仿宋" w:hAnsi="仿宋" w:eastAsia="仿宋" w:cs="Times New Roman"/>
          <w:sz w:val="28"/>
          <w:szCs w:val="28"/>
        </w:rPr>
        <w:t>专家</w:t>
      </w:r>
      <w:r>
        <w:rPr>
          <w:rFonts w:ascii="仿宋" w:hAnsi="仿宋" w:eastAsia="仿宋" w:cs="Times New Roman"/>
          <w:sz w:val="28"/>
          <w:szCs w:val="28"/>
        </w:rPr>
        <w:t>等3000多名嘉宾参加大会</w:t>
      </w:r>
      <w:r>
        <w:rPr>
          <w:rFonts w:hint="eastAsia" w:ascii="仿宋" w:hAnsi="仿宋" w:eastAsia="仿宋" w:cs="Times New Roman"/>
          <w:sz w:val="28"/>
          <w:szCs w:val="28"/>
        </w:rPr>
        <w:t>，</w:t>
      </w:r>
      <w:r>
        <w:rPr>
          <w:rFonts w:ascii="仿宋" w:hAnsi="仿宋" w:eastAsia="仿宋" w:cs="Times New Roman"/>
          <w:sz w:val="28"/>
          <w:szCs w:val="28"/>
        </w:rPr>
        <w:t>中国社会科学院、复旦大学电商中心、京东集团等代表分别做了主题演讲。中国农村电商大会成为了全国农村电商成果发布会、先进经验交流会、前沿政策解读会、平台资源对接会</w:t>
      </w:r>
      <w:r>
        <w:rPr>
          <w:rFonts w:hint="eastAsia" w:ascii="仿宋" w:hAnsi="仿宋" w:eastAsia="仿宋" w:cs="Times New Roman"/>
          <w:sz w:val="28"/>
          <w:szCs w:val="28"/>
        </w:rPr>
        <w:t>、</w:t>
      </w:r>
      <w:r>
        <w:rPr>
          <w:rFonts w:ascii="仿宋" w:hAnsi="仿宋" w:eastAsia="仿宋" w:cs="Times New Roman"/>
          <w:sz w:val="28"/>
          <w:szCs w:val="28"/>
        </w:rPr>
        <w:t>展示全国农村电子商务发展成绩和思想经验交流的重要平台。同时，借助</w:t>
      </w:r>
      <w:r>
        <w:rPr>
          <w:rFonts w:hint="eastAsia" w:ascii="仿宋" w:hAnsi="仿宋" w:eastAsia="仿宋" w:cs="Times New Roman"/>
          <w:sz w:val="28"/>
          <w:szCs w:val="28"/>
        </w:rPr>
        <w:t>大</w:t>
      </w:r>
      <w:r>
        <w:rPr>
          <w:rFonts w:ascii="仿宋" w:hAnsi="仿宋" w:eastAsia="仿宋" w:cs="Times New Roman"/>
          <w:sz w:val="28"/>
          <w:szCs w:val="28"/>
        </w:rPr>
        <w:t>会很好</w:t>
      </w:r>
      <w:r>
        <w:rPr>
          <w:rFonts w:hint="eastAsia" w:ascii="仿宋" w:hAnsi="仿宋" w:eastAsia="仿宋" w:cs="Times New Roman"/>
          <w:sz w:val="28"/>
          <w:szCs w:val="28"/>
        </w:rPr>
        <w:t>地</w:t>
      </w:r>
      <w:r>
        <w:rPr>
          <w:rFonts w:ascii="仿宋" w:hAnsi="仿宋" w:eastAsia="仿宋" w:cs="Times New Roman"/>
          <w:sz w:val="28"/>
          <w:szCs w:val="28"/>
        </w:rPr>
        <w:t>展示、推介</w:t>
      </w:r>
      <w:r>
        <w:rPr>
          <w:rFonts w:hint="eastAsia" w:ascii="仿宋" w:hAnsi="仿宋" w:eastAsia="仿宋" w:cs="Times New Roman"/>
          <w:sz w:val="28"/>
          <w:szCs w:val="28"/>
        </w:rPr>
        <w:t>、宣传了丽水。</w:t>
      </w:r>
    </w:p>
    <w:p>
      <w:pPr>
        <w:spacing w:line="520" w:lineRule="exact"/>
        <w:ind w:firstLine="420" w:firstLineChars="150"/>
        <w:rPr>
          <w:rFonts w:ascii="仿宋" w:hAnsi="仿宋" w:eastAsia="仿宋" w:cs="Times New Roman"/>
          <w:sz w:val="28"/>
          <w:szCs w:val="28"/>
        </w:rPr>
      </w:pPr>
      <w:r>
        <w:rPr>
          <w:rFonts w:hint="eastAsia" w:ascii="仿宋" w:hAnsi="仿宋" w:eastAsia="仿宋" w:cs="Times New Roman"/>
          <w:sz w:val="28"/>
          <w:szCs w:val="28"/>
        </w:rPr>
        <w:t>（2）举办各类电商活动，营造良好发展氛围</w:t>
      </w:r>
    </w:p>
    <w:p>
      <w:pPr>
        <w:tabs>
          <w:tab w:val="left" w:pos="1134"/>
          <w:tab w:val="left" w:pos="1560"/>
          <w:tab w:val="left" w:pos="1701"/>
        </w:tabs>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1</w:t>
      </w:r>
      <w:r>
        <w:rPr>
          <w:rFonts w:hint="eastAsia" w:ascii="仿宋" w:hAnsi="仿宋" w:eastAsia="仿宋" w:cs="Times New Roman"/>
          <w:sz w:val="28"/>
          <w:szCs w:val="28"/>
        </w:rPr>
        <w:t>）举办</w:t>
      </w:r>
      <w:r>
        <w:rPr>
          <w:rFonts w:ascii="仿宋" w:hAnsi="仿宋" w:eastAsia="仿宋" w:cs="Times New Roman"/>
          <w:sz w:val="28"/>
          <w:szCs w:val="28"/>
        </w:rPr>
        <w:t>2016年丽水跨境电商峰会</w:t>
      </w:r>
      <w:r>
        <w:rPr>
          <w:rFonts w:hint="eastAsia" w:ascii="仿宋" w:hAnsi="仿宋" w:eastAsia="仿宋" w:cs="Times New Roman"/>
          <w:sz w:val="28"/>
          <w:szCs w:val="28"/>
        </w:rPr>
        <w:t>。</w:t>
      </w:r>
      <w:r>
        <w:rPr>
          <w:rFonts w:ascii="仿宋" w:hAnsi="仿宋" w:eastAsia="仿宋" w:cs="Times New Roman"/>
          <w:sz w:val="28"/>
          <w:szCs w:val="28"/>
        </w:rPr>
        <w:t>将“生态共建融合发展”作为主题，以论坛、培训、沙龙、展会、考察学习等多种方式相结合的活动体系，为丽水市电子商务企业提供了品牌化、精准化的全流程以及一站式、低成本的电</w:t>
      </w:r>
      <w:r>
        <w:rPr>
          <w:rFonts w:hint="eastAsia" w:ascii="仿宋" w:hAnsi="仿宋" w:eastAsia="仿宋" w:cs="Times New Roman"/>
          <w:sz w:val="28"/>
          <w:szCs w:val="28"/>
        </w:rPr>
        <w:t>子商务公共服务。</w:t>
      </w:r>
    </w:p>
    <w:p>
      <w:pPr>
        <w:tabs>
          <w:tab w:val="left" w:pos="993"/>
        </w:tabs>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2</w:t>
      </w:r>
      <w:r>
        <w:rPr>
          <w:rFonts w:hint="eastAsia" w:ascii="仿宋" w:hAnsi="仿宋" w:eastAsia="仿宋" w:cs="Times New Roman"/>
          <w:sz w:val="28"/>
          <w:szCs w:val="28"/>
        </w:rPr>
        <w:t>）</w:t>
      </w:r>
      <w:r>
        <w:rPr>
          <w:rFonts w:ascii="仿宋" w:hAnsi="仿宋" w:eastAsia="仿宋" w:cs="Times New Roman"/>
          <w:sz w:val="28"/>
          <w:szCs w:val="28"/>
        </w:rPr>
        <w:t>组织丽水市“品质浙货上天猫”（服饰）暨电子商务公共服务资源对接活动</w:t>
      </w:r>
      <w:r>
        <w:rPr>
          <w:rFonts w:hint="eastAsia" w:ascii="仿宋" w:hAnsi="仿宋" w:eastAsia="仿宋" w:cs="Times New Roman"/>
          <w:sz w:val="28"/>
          <w:szCs w:val="28"/>
        </w:rPr>
        <w:t>，</w:t>
      </w:r>
      <w:r>
        <w:rPr>
          <w:rFonts w:ascii="仿宋" w:hAnsi="仿宋" w:eastAsia="仿宋" w:cs="Times New Roman"/>
          <w:sz w:val="28"/>
          <w:szCs w:val="28"/>
        </w:rPr>
        <w:t>进一步增强</w:t>
      </w:r>
      <w:r>
        <w:rPr>
          <w:rFonts w:hint="eastAsia" w:ascii="仿宋" w:hAnsi="仿宋" w:eastAsia="仿宋" w:cs="Times New Roman"/>
          <w:sz w:val="28"/>
          <w:szCs w:val="28"/>
        </w:rPr>
        <w:t>了</w:t>
      </w:r>
      <w:r>
        <w:rPr>
          <w:rFonts w:ascii="仿宋" w:hAnsi="仿宋" w:eastAsia="仿宋" w:cs="Times New Roman"/>
          <w:sz w:val="28"/>
          <w:szCs w:val="28"/>
        </w:rPr>
        <w:t>丽水制造、丽水品牌在全国的影响力和市场占有率。</w:t>
      </w:r>
    </w:p>
    <w:p>
      <w:pPr>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3</w:t>
      </w:r>
      <w:r>
        <w:rPr>
          <w:rFonts w:hint="eastAsia" w:ascii="仿宋" w:hAnsi="仿宋" w:eastAsia="仿宋" w:cs="Times New Roman"/>
          <w:sz w:val="28"/>
          <w:szCs w:val="28"/>
        </w:rPr>
        <w:t>）举办</w:t>
      </w:r>
      <w:r>
        <w:rPr>
          <w:rFonts w:ascii="仿宋" w:hAnsi="仿宋" w:eastAsia="仿宋" w:cs="Times New Roman"/>
          <w:sz w:val="28"/>
          <w:szCs w:val="28"/>
        </w:rPr>
        <w:t>丽水市电商创业创新大赛</w:t>
      </w:r>
      <w:r>
        <w:rPr>
          <w:rFonts w:hint="eastAsia" w:ascii="仿宋" w:hAnsi="仿宋" w:eastAsia="仿宋" w:cs="Times New Roman"/>
          <w:sz w:val="28"/>
          <w:szCs w:val="28"/>
        </w:rPr>
        <w:t>。</w:t>
      </w:r>
      <w:r>
        <w:rPr>
          <w:rFonts w:ascii="仿宋" w:hAnsi="仿宋" w:eastAsia="仿宋" w:cs="Times New Roman"/>
          <w:sz w:val="28"/>
          <w:szCs w:val="28"/>
        </w:rPr>
        <w:t>2017-2018年连续两年举办了丽水市电商创业创新大赛，为平台挖掘、培育优秀电商人才，助其展现能力、对接优质电商创业资源，进一步提高丽水电子商务发展水平，助推我市</w:t>
      </w:r>
      <w:r>
        <w:rPr>
          <w:rFonts w:hint="eastAsia" w:ascii="仿宋" w:hAnsi="仿宋" w:eastAsia="仿宋" w:cs="Times New Roman"/>
          <w:sz w:val="28"/>
          <w:szCs w:val="28"/>
        </w:rPr>
        <w:t>“</w:t>
      </w:r>
      <w:r>
        <w:rPr>
          <w:rFonts w:ascii="仿宋" w:hAnsi="仿宋" w:eastAsia="仿宋" w:cs="Times New Roman"/>
          <w:sz w:val="28"/>
          <w:szCs w:val="28"/>
        </w:rPr>
        <w:t>浙江（丽水）农村电子商务创新</w:t>
      </w:r>
      <w:r>
        <w:rPr>
          <w:rFonts w:hint="eastAsia" w:ascii="仿宋" w:hAnsi="仿宋" w:eastAsia="仿宋" w:cs="Times New Roman"/>
          <w:sz w:val="28"/>
          <w:szCs w:val="28"/>
        </w:rPr>
        <w:t>发展示范区”建设。</w:t>
      </w:r>
    </w:p>
    <w:p>
      <w:pPr>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4</w:t>
      </w:r>
      <w:r>
        <w:rPr>
          <w:rFonts w:hint="eastAsia" w:ascii="仿宋" w:hAnsi="仿宋" w:eastAsia="仿宋" w:cs="Times New Roman"/>
          <w:sz w:val="28"/>
          <w:szCs w:val="28"/>
        </w:rPr>
        <w:t>）举办</w:t>
      </w:r>
      <w:r>
        <w:rPr>
          <w:rFonts w:ascii="仿宋" w:hAnsi="仿宋" w:eastAsia="仿宋" w:cs="Times New Roman"/>
          <w:sz w:val="28"/>
          <w:szCs w:val="28"/>
        </w:rPr>
        <w:t>万名淘客淘丽水活动。2017年5</w:t>
      </w:r>
      <w:r>
        <w:rPr>
          <w:rFonts w:hint="eastAsia" w:ascii="仿宋" w:hAnsi="仿宋" w:eastAsia="仿宋" w:cs="Times New Roman"/>
          <w:sz w:val="28"/>
          <w:szCs w:val="28"/>
        </w:rPr>
        <w:t>月</w:t>
      </w:r>
      <w:r>
        <w:rPr>
          <w:rFonts w:ascii="仿宋" w:hAnsi="仿宋" w:eastAsia="仿宋" w:cs="Times New Roman"/>
          <w:sz w:val="28"/>
          <w:szCs w:val="28"/>
        </w:rPr>
        <w:t>-10月，结合“金秋购物节”活动，利用微信淘客强大的推广能力，将丽水本地优质农产品推向全国，降低农产品网商在销售渠道中的成本，让农产品和消费者进行无缝的交互，增加本地网商</w:t>
      </w:r>
      <w:r>
        <w:rPr>
          <w:rFonts w:hint="eastAsia" w:ascii="仿宋" w:hAnsi="仿宋" w:eastAsia="仿宋" w:cs="Times New Roman"/>
          <w:sz w:val="28"/>
          <w:szCs w:val="28"/>
        </w:rPr>
        <w:t>的</w:t>
      </w:r>
      <w:r>
        <w:rPr>
          <w:rFonts w:ascii="仿宋" w:hAnsi="仿宋" w:eastAsia="仿宋" w:cs="Times New Roman"/>
          <w:sz w:val="28"/>
          <w:szCs w:val="28"/>
        </w:rPr>
        <w:t>销量</w:t>
      </w:r>
      <w:r>
        <w:rPr>
          <w:rFonts w:hint="eastAsia" w:ascii="仿宋" w:hAnsi="仿宋" w:eastAsia="仿宋" w:cs="Times New Roman"/>
          <w:sz w:val="28"/>
          <w:szCs w:val="28"/>
        </w:rPr>
        <w:t>和</w:t>
      </w:r>
      <w:r>
        <w:rPr>
          <w:rFonts w:ascii="仿宋" w:hAnsi="仿宋" w:eastAsia="仿宋" w:cs="Times New Roman"/>
          <w:sz w:val="28"/>
          <w:szCs w:val="28"/>
        </w:rPr>
        <w:t>收入。</w:t>
      </w:r>
    </w:p>
    <w:p>
      <w:pPr>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5</w:t>
      </w:r>
      <w:r>
        <w:rPr>
          <w:rFonts w:hint="eastAsia" w:ascii="仿宋" w:hAnsi="仿宋" w:eastAsia="仿宋" w:cs="Times New Roman"/>
          <w:sz w:val="28"/>
          <w:szCs w:val="28"/>
        </w:rPr>
        <w:t>）</w:t>
      </w:r>
      <w:r>
        <w:rPr>
          <w:rFonts w:ascii="仿宋" w:hAnsi="仿宋" w:eastAsia="仿宋" w:cs="Times New Roman"/>
          <w:sz w:val="28"/>
          <w:szCs w:val="28"/>
        </w:rPr>
        <w:t>组织参加中国国际电商博览会。2018年4月11日—13日，</w:t>
      </w:r>
      <w:r>
        <w:rPr>
          <w:rFonts w:hint="eastAsia" w:ascii="仿宋" w:hAnsi="仿宋" w:eastAsia="仿宋" w:cs="Times New Roman"/>
          <w:sz w:val="28"/>
          <w:szCs w:val="28"/>
        </w:rPr>
        <w:t>组织丽水市农村电商参加</w:t>
      </w:r>
      <w:r>
        <w:rPr>
          <w:rFonts w:ascii="仿宋" w:hAnsi="仿宋" w:eastAsia="仿宋" w:cs="Times New Roman"/>
          <w:sz w:val="28"/>
          <w:szCs w:val="28"/>
        </w:rPr>
        <w:t>浙江省商务厅、中国国际电子商务中心、中国电子商会、义乌市人民政府共同举办的2018中国国际电子商务博览会暨首届数字贸易博览会</w:t>
      </w:r>
      <w:r>
        <w:rPr>
          <w:rFonts w:hint="eastAsia" w:ascii="仿宋" w:hAnsi="仿宋" w:eastAsia="仿宋" w:cs="Times New Roman"/>
          <w:sz w:val="28"/>
          <w:szCs w:val="28"/>
        </w:rPr>
        <w:t>。</w:t>
      </w:r>
      <w:r>
        <w:rPr>
          <w:rFonts w:ascii="仿宋" w:hAnsi="仿宋" w:eastAsia="仿宋" w:cs="Times New Roman"/>
          <w:sz w:val="28"/>
          <w:szCs w:val="28"/>
        </w:rPr>
        <w:t>央视新闻频道“朝闻天下”、央视2套财经</w:t>
      </w:r>
      <w:r>
        <w:rPr>
          <w:rFonts w:hint="eastAsia" w:ascii="仿宋" w:hAnsi="仿宋" w:eastAsia="仿宋" w:cs="Times New Roman"/>
          <w:sz w:val="28"/>
          <w:szCs w:val="28"/>
        </w:rPr>
        <w:t>频道</w:t>
      </w:r>
      <w:r>
        <w:rPr>
          <w:rFonts w:ascii="仿宋" w:hAnsi="仿宋" w:eastAsia="仿宋" w:cs="Times New Roman"/>
          <w:sz w:val="28"/>
          <w:szCs w:val="28"/>
        </w:rPr>
        <w:t>、中国中央人民政府网站等新闻媒体都对本次展会进行了报道</w:t>
      </w:r>
      <w:r>
        <w:rPr>
          <w:rFonts w:hint="eastAsia" w:ascii="仿宋" w:hAnsi="仿宋" w:eastAsia="仿宋" w:cs="Times New Roman"/>
          <w:sz w:val="28"/>
          <w:szCs w:val="28"/>
        </w:rPr>
        <w:t>。</w:t>
      </w:r>
      <w:r>
        <w:rPr>
          <w:rFonts w:ascii="仿宋" w:hAnsi="仿宋" w:eastAsia="仿宋" w:cs="Times New Roman"/>
          <w:sz w:val="28"/>
          <w:szCs w:val="28"/>
        </w:rPr>
        <w:t>农村</w:t>
      </w:r>
      <w:r>
        <w:rPr>
          <w:rFonts w:hint="eastAsia" w:ascii="仿宋" w:hAnsi="仿宋" w:eastAsia="仿宋" w:cs="Times New Roman"/>
          <w:sz w:val="28"/>
          <w:szCs w:val="28"/>
        </w:rPr>
        <w:t>电商首次参加</w:t>
      </w:r>
      <w:r>
        <w:rPr>
          <w:rFonts w:ascii="仿宋" w:hAnsi="仿宋" w:eastAsia="仿宋" w:cs="Times New Roman"/>
          <w:sz w:val="28"/>
          <w:szCs w:val="28"/>
        </w:rPr>
        <w:t>2018中国国际电子商务博览会，亮相央视</w:t>
      </w:r>
      <w:r>
        <w:rPr>
          <w:rFonts w:hint="eastAsia" w:ascii="仿宋" w:hAnsi="仿宋" w:eastAsia="仿宋" w:cs="Times New Roman"/>
          <w:sz w:val="28"/>
          <w:szCs w:val="28"/>
        </w:rPr>
        <w:t>“</w:t>
      </w:r>
      <w:r>
        <w:rPr>
          <w:rFonts w:ascii="仿宋" w:hAnsi="仿宋" w:eastAsia="仿宋" w:cs="Times New Roman"/>
          <w:sz w:val="28"/>
          <w:szCs w:val="28"/>
        </w:rPr>
        <w:t>朝闻天下</w:t>
      </w:r>
      <w:r>
        <w:rPr>
          <w:rFonts w:hint="eastAsia" w:ascii="仿宋" w:hAnsi="仿宋" w:eastAsia="仿宋" w:cs="Times New Roman"/>
          <w:sz w:val="28"/>
          <w:szCs w:val="28"/>
        </w:rPr>
        <w:t>”节目</w:t>
      </w:r>
      <w:r>
        <w:rPr>
          <w:rFonts w:ascii="仿宋" w:hAnsi="仿宋" w:eastAsia="仿宋" w:cs="Times New Roman"/>
          <w:sz w:val="28"/>
          <w:szCs w:val="28"/>
        </w:rPr>
        <w:t>，并获得组委会颁发的优秀组织奖。</w:t>
      </w:r>
    </w:p>
    <w:p>
      <w:pPr>
        <w:spacing w:line="520" w:lineRule="exact"/>
        <w:ind w:firstLine="560" w:firstLineChars="200"/>
        <w:rPr>
          <w:rFonts w:ascii="仿宋" w:hAnsi="仿宋" w:eastAsia="仿宋" w:cs="Times New Roman"/>
          <w:sz w:val="28"/>
          <w:szCs w:val="28"/>
        </w:rPr>
      </w:pPr>
      <w:r>
        <w:rPr>
          <w:rFonts w:ascii="仿宋" w:hAnsi="仿宋" w:eastAsia="仿宋" w:cs="Times New Roman"/>
          <w:sz w:val="28"/>
          <w:szCs w:val="28"/>
        </w:rPr>
        <w:t>6</w:t>
      </w:r>
      <w:r>
        <w:rPr>
          <w:rFonts w:hint="eastAsia" w:ascii="仿宋" w:hAnsi="仿宋" w:eastAsia="仿宋" w:cs="Times New Roman"/>
          <w:sz w:val="28"/>
          <w:szCs w:val="28"/>
        </w:rPr>
        <w:t>）举办</w:t>
      </w:r>
      <w:r>
        <w:rPr>
          <w:rFonts w:ascii="仿宋" w:hAnsi="仿宋" w:eastAsia="仿宋" w:cs="Times New Roman"/>
          <w:sz w:val="28"/>
          <w:szCs w:val="28"/>
        </w:rPr>
        <w:t>“消费促进月”及“金秋购物节”系列活动。通过活动的举办促进了我市商贸经济的稳定增长，2018年</w:t>
      </w:r>
      <w:r>
        <w:rPr>
          <w:rFonts w:hint="eastAsia" w:ascii="仿宋" w:hAnsi="仿宋" w:eastAsia="仿宋" w:cs="Times New Roman"/>
          <w:sz w:val="28"/>
          <w:szCs w:val="28"/>
        </w:rPr>
        <w:t>丽水</w:t>
      </w:r>
      <w:r>
        <w:rPr>
          <w:rFonts w:ascii="仿宋" w:hAnsi="仿宋" w:eastAsia="仿宋" w:cs="Times New Roman"/>
          <w:sz w:val="28"/>
          <w:szCs w:val="28"/>
        </w:rPr>
        <w:t>市社会消费品零售总额同比增长11.4%。</w:t>
      </w:r>
    </w:p>
    <w:p>
      <w:pPr>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3、实施电商项目，助力产业发展</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w:t>
      </w:r>
      <w:r>
        <w:rPr>
          <w:rFonts w:ascii="仿宋" w:hAnsi="仿宋" w:eastAsia="仿宋" w:cs="Times New Roman"/>
          <w:sz w:val="28"/>
          <w:szCs w:val="28"/>
        </w:rPr>
        <w:t>1）丽水电商有效助推东西部对口支援合作地区产业发展。根据市委市政府工作部署，积极鼓励赶街、讯唯、山山、梦马等重点电商企业在服务本地电商发展的同时也不断将农村电商“丽水模式”辐射全国，帮助对口地区对接国内各大电商平台，助力扶贫产品销售；帮助对口地区开展“电商平台+龙头企业+农户”的直采直销模式，推进对口地区特色产品销售；帮助对口地区电商企业在各大平台开设电商扶贫特产馆；帮助对口地区开展农产品新媒体营销推广，探索出了一条农村电商支援协作的创新性路径，得到了商务部等国家层面的高度关注和认可，市赶街公司在四</w:t>
      </w:r>
      <w:r>
        <w:rPr>
          <w:rFonts w:hint="eastAsia" w:ascii="仿宋" w:hAnsi="仿宋" w:eastAsia="仿宋" w:cs="Times New Roman"/>
          <w:sz w:val="28"/>
          <w:szCs w:val="28"/>
        </w:rPr>
        <w:t>川通江电商扶贫模式还入选了《全国电商扶贫典型案例》，并建立了17个省42个县的200个电商服务站。</w:t>
      </w:r>
    </w:p>
    <w:p>
      <w:pPr>
        <w:spacing w:line="520" w:lineRule="exact"/>
        <w:ind w:firstLine="425" w:firstLineChars="152"/>
        <w:rPr>
          <w:rFonts w:ascii="仿宋" w:hAnsi="仿宋" w:eastAsia="仿宋" w:cs="Times New Roman"/>
          <w:sz w:val="28"/>
          <w:szCs w:val="28"/>
        </w:rPr>
      </w:pPr>
      <w:r>
        <w:rPr>
          <w:rFonts w:hint="eastAsia" w:ascii="仿宋" w:hAnsi="仿宋" w:eastAsia="仿宋" w:cs="Times New Roman"/>
          <w:sz w:val="28"/>
          <w:szCs w:val="28"/>
        </w:rPr>
        <w:t>（2）</w:t>
      </w:r>
      <w:r>
        <w:rPr>
          <w:rFonts w:ascii="仿宋" w:hAnsi="仿宋" w:eastAsia="仿宋" w:cs="Times New Roman"/>
          <w:sz w:val="28"/>
          <w:szCs w:val="28"/>
        </w:rPr>
        <w:t>丽水市电子商务产品检验检测中心、农产品电商化研发和大数据分析服务中心</w:t>
      </w:r>
      <w:r>
        <w:rPr>
          <w:rFonts w:hint="eastAsia" w:ascii="仿宋" w:hAnsi="仿宋" w:eastAsia="仿宋" w:cs="Times New Roman"/>
          <w:sz w:val="28"/>
          <w:szCs w:val="28"/>
        </w:rPr>
        <w:t xml:space="preserve">的成立，为丽水市电商产品的流通提供了安全保障。    </w:t>
      </w:r>
    </w:p>
    <w:p>
      <w:pPr>
        <w:spacing w:line="520" w:lineRule="exact"/>
        <w:ind w:firstLine="425" w:firstLineChars="152"/>
        <w:rPr>
          <w:rFonts w:ascii="仿宋" w:hAnsi="仿宋" w:eastAsia="仿宋" w:cs="Times New Roman"/>
          <w:sz w:val="28"/>
          <w:szCs w:val="28"/>
        </w:rPr>
      </w:pPr>
      <w:r>
        <w:rPr>
          <w:rFonts w:hint="eastAsia" w:ascii="仿宋" w:hAnsi="仿宋" w:eastAsia="仿宋" w:cs="Times New Roman"/>
          <w:sz w:val="28"/>
          <w:szCs w:val="28"/>
        </w:rPr>
        <w:t>（3）</w:t>
      </w:r>
      <w:r>
        <w:rPr>
          <w:rFonts w:ascii="仿宋" w:hAnsi="仿宋" w:eastAsia="仿宋" w:cs="Times New Roman"/>
          <w:sz w:val="28"/>
          <w:szCs w:val="28"/>
        </w:rPr>
        <w:t>阿里巴巴丽水产业带</w:t>
      </w:r>
      <w:r>
        <w:rPr>
          <w:rFonts w:hint="eastAsia" w:ascii="仿宋" w:hAnsi="仿宋" w:eastAsia="仿宋" w:cs="Times New Roman"/>
          <w:sz w:val="28"/>
          <w:szCs w:val="28"/>
        </w:rPr>
        <w:t>项目</w:t>
      </w:r>
      <w:r>
        <w:rPr>
          <w:rFonts w:ascii="仿宋" w:hAnsi="仿宋" w:eastAsia="仿宋" w:cs="Times New Roman"/>
          <w:sz w:val="28"/>
          <w:szCs w:val="28"/>
        </w:rPr>
        <w:t>。通过线上展示、线下促销、委托站外引流等措施，优化产业结构，加大培训力度，重点投放线上广告引流，深入打造丽水产业带升级版，为全市广大中小企业提供网络品牌推广及销售服务。</w:t>
      </w:r>
    </w:p>
    <w:p>
      <w:pPr>
        <w:spacing w:line="520" w:lineRule="exact"/>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（4）</w:t>
      </w:r>
      <w:r>
        <w:rPr>
          <w:rFonts w:ascii="仿宋" w:hAnsi="仿宋" w:eastAsia="仿宋" w:cs="Times New Roman"/>
          <w:sz w:val="28"/>
          <w:szCs w:val="28"/>
        </w:rPr>
        <w:t>喵街项目。</w:t>
      </w:r>
      <w:r>
        <w:rPr>
          <w:rFonts w:hint="eastAsia" w:ascii="仿宋" w:hAnsi="仿宋" w:eastAsia="仿宋" w:cs="Times New Roman"/>
          <w:sz w:val="28"/>
          <w:szCs w:val="28"/>
        </w:rPr>
        <w:t>为激发丽水市实体零售新活力，丽水市商务局积极对接阿里巴巴喵街事业部团队，采取“政府主导，平台支撑，商圈入驻，服务商运营”的方式，打造了“政府</w:t>
      </w:r>
      <w:r>
        <w:rPr>
          <w:rFonts w:ascii="仿宋" w:hAnsi="仿宋" w:eastAsia="仿宋" w:cs="Times New Roman"/>
          <w:sz w:val="28"/>
          <w:szCs w:val="28"/>
        </w:rPr>
        <w:t>+</w:t>
      </w:r>
      <w:r>
        <w:rPr>
          <w:rFonts w:hint="eastAsia" w:ascii="仿宋" w:hAnsi="仿宋" w:eastAsia="仿宋" w:cs="Times New Roman"/>
          <w:sz w:val="28"/>
          <w:szCs w:val="28"/>
        </w:rPr>
        <w:t>平台</w:t>
      </w:r>
      <w:r>
        <w:rPr>
          <w:rFonts w:ascii="仿宋" w:hAnsi="仿宋" w:eastAsia="仿宋" w:cs="Times New Roman"/>
          <w:sz w:val="28"/>
          <w:szCs w:val="28"/>
        </w:rPr>
        <w:t>+</w:t>
      </w:r>
      <w:r>
        <w:rPr>
          <w:rFonts w:hint="eastAsia" w:ascii="仿宋" w:hAnsi="仿宋" w:eastAsia="仿宋" w:cs="Times New Roman"/>
          <w:sz w:val="28"/>
          <w:szCs w:val="28"/>
        </w:rPr>
        <w:t>服务商</w:t>
      </w:r>
      <w:r>
        <w:rPr>
          <w:rFonts w:ascii="仿宋" w:hAnsi="仿宋" w:eastAsia="仿宋" w:cs="Times New Roman"/>
          <w:sz w:val="28"/>
          <w:szCs w:val="28"/>
        </w:rPr>
        <w:t>+</w:t>
      </w:r>
      <w:r>
        <w:rPr>
          <w:rFonts w:hint="eastAsia" w:ascii="仿宋" w:hAnsi="仿宋" w:eastAsia="仿宋" w:cs="Times New Roman"/>
          <w:sz w:val="28"/>
          <w:szCs w:val="28"/>
        </w:rPr>
        <w:t>商圈”的全新运营模式，成功引进喵街项目推动丽水市传统商业转型</w:t>
      </w:r>
      <w:r>
        <w:rPr>
          <w:rFonts w:ascii="仿宋" w:hAnsi="仿宋" w:eastAsia="仿宋" w:cs="Times New Roman"/>
          <w:sz w:val="28"/>
          <w:szCs w:val="28"/>
        </w:rPr>
        <w:t>O2O</w:t>
      </w:r>
      <w:r>
        <w:rPr>
          <w:rFonts w:hint="eastAsia" w:ascii="仿宋" w:hAnsi="仿宋" w:eastAsia="仿宋" w:cs="Times New Roman"/>
          <w:sz w:val="28"/>
          <w:szCs w:val="28"/>
        </w:rPr>
        <w:t>，实现智慧商业全新发展。目前，丽水市在速卖通、亚马逊、易贝等跨境电商平台上活跃网店700余家，全市</w:t>
      </w:r>
      <w:r>
        <w:rPr>
          <w:rFonts w:ascii="仿宋" w:hAnsi="仿宋" w:eastAsia="仿宋" w:cs="Times New Roman"/>
          <w:sz w:val="28"/>
          <w:szCs w:val="28"/>
        </w:rPr>
        <w:t>5000</w:t>
      </w:r>
      <w:r>
        <w:rPr>
          <w:rFonts w:hint="eastAsia" w:ascii="仿宋" w:hAnsi="仿宋" w:eastAsia="仿宋" w:cs="Times New Roman"/>
          <w:sz w:val="28"/>
          <w:szCs w:val="28"/>
        </w:rPr>
        <w:t>多家餐饮、娱乐、旅游景点、农家乐等中小企业或门店通过团购网站、支付宝、微信、携程、天猫等平台开展网络销售。目前全市已累计培育29个淘宝村,5万多名青年从事农村电子商务工作；累计建成各类农村电子商务服务站点4045个；已投入使用的各类电子商务集聚区16个；培育电子商务示范企业25个、电子商务示范乡镇26个和电子商务示范村31个。</w:t>
      </w:r>
    </w:p>
    <w:p>
      <w:pPr>
        <w:spacing w:line="560" w:lineRule="exact"/>
        <w:ind w:left="-153" w:leftChars="-73" w:right="-27" w:rightChars="-13" w:firstLine="579" w:firstLineChars="206"/>
        <w:rPr>
          <w:rFonts w:hint="eastAsia" w:ascii="仿宋" w:hAnsi="仿宋" w:eastAsia="仿宋" w:cs="仿宋_GB2312"/>
          <w:b/>
          <w:sz w:val="28"/>
          <w:szCs w:val="28"/>
        </w:rPr>
      </w:pPr>
      <w:r>
        <w:rPr>
          <w:rFonts w:hint="eastAsia" w:ascii="仿宋" w:hAnsi="仿宋" w:eastAsia="仿宋" w:cs="Times New Roman"/>
          <w:b/>
          <w:sz w:val="28"/>
          <w:szCs w:val="28"/>
        </w:rPr>
        <w:t>（四）</w:t>
      </w:r>
      <w:r>
        <w:rPr>
          <w:rFonts w:hint="eastAsia" w:ascii="仿宋" w:hAnsi="仿宋" w:eastAsia="仿宋" w:cs="仿宋_GB2312"/>
          <w:b/>
          <w:sz w:val="28"/>
          <w:szCs w:val="28"/>
        </w:rPr>
        <w:t>实地走访与问卷调查情况</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本次评价设计了电商实施企业、培训对象二份问卷，收回有效问卷</w:t>
      </w:r>
      <w:r>
        <w:rPr>
          <w:rFonts w:ascii="仿宋" w:hAnsi="仿宋" w:eastAsia="仿宋" w:cs="Times New Roman"/>
          <w:sz w:val="28"/>
          <w:szCs w:val="28"/>
        </w:rPr>
        <w:t>210份，其中：电商实施企业问卷8份，培训对象问卷242份。从反馈情况看，满意度较高。对电商实施企业的问卷中，87.5%的电商实施企业对电子商务政策实施效果很满意、12.5%电商实施企业对电子商务政策实施效果较满意；对培训对象的问卷中，平均80.54%的培训对象对电商培训的总体效果表示满意，在其中对培训基地的培训课程设置是否满意问卷题中，9.91%的培训对象不满意，原因为培训机构课程设置单一，未针对学员水平设置课程，部分课程对于他们的年龄段及水平而言</w:t>
      </w:r>
      <w:r>
        <w:rPr>
          <w:rFonts w:hint="eastAsia" w:ascii="仿宋" w:hAnsi="仿宋" w:eastAsia="仿宋" w:cs="Times New Roman"/>
          <w:sz w:val="28"/>
          <w:szCs w:val="28"/>
        </w:rPr>
        <w:t>太过深奥</w:t>
      </w:r>
      <w:r>
        <w:rPr>
          <w:rFonts w:ascii="仿宋" w:hAnsi="仿宋" w:eastAsia="仿宋" w:cs="Times New Roman"/>
          <w:sz w:val="28"/>
          <w:szCs w:val="28"/>
        </w:rPr>
        <w:t>;在对培训基地的辅导老师是否满意问题中，部分受调查学员认为培辅导老师对于课程的讲解不够深入。对职业培训持肯定态度的占了绝对多数。部分受调查企业希望能对农村电子商务加大扶持力度，多扶持一些本地有特色的农村电商项目，希望资金补助政策更加简化透明合理合规，资金补助流程更简化。</w:t>
      </w:r>
    </w:p>
    <w:p>
      <w:pPr>
        <w:autoSpaceDN w:val="0"/>
        <w:spacing w:line="520" w:lineRule="exact"/>
        <w:ind w:firstLine="562" w:firstLineChars="200"/>
        <w:jc w:val="left"/>
        <w:rPr>
          <w:rFonts w:hint="eastAsia" w:ascii="仿宋" w:hAnsi="仿宋" w:eastAsia="仿宋" w:cs="Times New Roman"/>
          <w:b/>
          <w:sz w:val="28"/>
          <w:szCs w:val="28"/>
        </w:rPr>
      </w:pPr>
      <w:r>
        <w:rPr>
          <w:rFonts w:hint="eastAsia" w:ascii="仿宋" w:hAnsi="仿宋" w:eastAsia="仿宋" w:cs="Times New Roman"/>
          <w:b/>
          <w:sz w:val="28"/>
          <w:szCs w:val="28"/>
        </w:rPr>
        <w:t xml:space="preserve">（五）绩效评价结论  </w:t>
      </w:r>
    </w:p>
    <w:p>
      <w:pPr>
        <w:autoSpaceDN w:val="0"/>
        <w:spacing w:line="52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综上所述，结合电子商务专项资金</w:t>
      </w:r>
      <w:r>
        <w:rPr>
          <w:rFonts w:ascii="仿宋" w:hAnsi="仿宋" w:eastAsia="仿宋" w:cs="Times New Roman"/>
          <w:sz w:val="28"/>
          <w:szCs w:val="28"/>
        </w:rPr>
        <w:t>政策实施情况</w:t>
      </w:r>
      <w:r>
        <w:rPr>
          <w:rFonts w:hint="eastAsia" w:ascii="仿宋" w:hAnsi="仿宋" w:eastAsia="仿宋" w:cs="Times New Roman"/>
          <w:sz w:val="28"/>
          <w:szCs w:val="28"/>
        </w:rPr>
        <w:t>，经项目评价组评议，本次政策评价的结论如下：</w:t>
      </w:r>
    </w:p>
    <w:p>
      <w:pPr>
        <w:numPr>
          <w:ilvl w:val="0"/>
          <w:numId w:val="2"/>
        </w:numPr>
        <w:tabs>
          <w:tab w:val="left" w:pos="1276"/>
          <w:tab w:val="left" w:pos="1418"/>
        </w:tabs>
        <w:autoSpaceDN w:val="0"/>
        <w:spacing w:line="520" w:lineRule="exact"/>
        <w:ind w:left="142" w:firstLine="567"/>
        <w:jc w:val="left"/>
        <w:rPr>
          <w:rFonts w:ascii="仿宋" w:hAnsi="仿宋" w:eastAsia="仿宋" w:cs="Times New Roman"/>
          <w:sz w:val="28"/>
          <w:szCs w:val="28"/>
        </w:rPr>
      </w:pPr>
      <w:r>
        <w:rPr>
          <w:rFonts w:hint="eastAsia" w:ascii="仿宋" w:hAnsi="仿宋" w:eastAsia="仿宋" w:cs="Times New Roman"/>
          <w:b/>
          <w:sz w:val="28"/>
          <w:szCs w:val="28"/>
        </w:rPr>
        <w:t>相关性高</w:t>
      </w:r>
      <w:r>
        <w:rPr>
          <w:rFonts w:hint="eastAsia" w:ascii="仿宋" w:hAnsi="仿宋" w:eastAsia="仿宋" w:cs="Times New Roman"/>
          <w:sz w:val="28"/>
          <w:szCs w:val="28"/>
        </w:rPr>
        <w:t>。政策依据充分，政策扶持内容符合鼓励我市电子商务行业发展的现实需要，市委、市政府对电子商务政策总目标设定清晰，但市商务局对本级绩效目标不够明确及细化，中长期规划不够明确。</w:t>
      </w:r>
    </w:p>
    <w:p>
      <w:pPr>
        <w:numPr>
          <w:ilvl w:val="0"/>
          <w:numId w:val="2"/>
        </w:numPr>
        <w:tabs>
          <w:tab w:val="left" w:pos="1276"/>
        </w:tabs>
        <w:autoSpaceDN w:val="0"/>
        <w:spacing w:line="520" w:lineRule="exact"/>
        <w:ind w:left="284" w:firstLine="280"/>
        <w:jc w:val="left"/>
        <w:rPr>
          <w:rFonts w:ascii="仿宋" w:hAnsi="仿宋" w:eastAsia="仿宋" w:cs="Times New Roman"/>
          <w:sz w:val="28"/>
          <w:szCs w:val="28"/>
        </w:rPr>
      </w:pPr>
      <w:r>
        <w:rPr>
          <w:rFonts w:ascii="仿宋" w:hAnsi="仿宋" w:eastAsia="仿宋" w:cs="Times New Roman"/>
          <w:b/>
          <w:sz w:val="28"/>
          <w:szCs w:val="28"/>
        </w:rPr>
        <w:t>效率性一般</w:t>
      </w:r>
      <w:r>
        <w:rPr>
          <w:rFonts w:ascii="仿宋" w:hAnsi="仿宋" w:eastAsia="仿宋" w:cs="Times New Roman"/>
          <w:sz w:val="28"/>
          <w:szCs w:val="28"/>
        </w:rPr>
        <w:t>。项目实施方案明确了资金支持对象和范围、申报和审核拨付、管理与监督等，实施内容和申报内容一致。但由于绩效目标</w:t>
      </w:r>
      <w:r>
        <w:rPr>
          <w:rFonts w:hint="eastAsia" w:ascii="仿宋" w:hAnsi="仿宋" w:eastAsia="仿宋" w:cs="Times New Roman"/>
          <w:sz w:val="28"/>
          <w:szCs w:val="28"/>
        </w:rPr>
        <w:t>不够</w:t>
      </w:r>
      <w:r>
        <w:rPr>
          <w:rFonts w:ascii="仿宋" w:hAnsi="仿宋" w:eastAsia="仿宋" w:cs="Times New Roman"/>
          <w:sz w:val="28"/>
          <w:szCs w:val="28"/>
        </w:rPr>
        <w:t>具体，项目目标完成率难以计算。市商务局有较完善的管理制度，但对项目缺乏后续跟踪管理措施或记录管理有待完善，对项目实施情况考核及后续管理有待加强，资金拨付审核制度未得到有效执行。</w:t>
      </w:r>
    </w:p>
    <w:p>
      <w:pPr>
        <w:autoSpaceDN w:val="0"/>
        <w:spacing w:line="520" w:lineRule="exact"/>
        <w:ind w:left="141" w:leftChars="67" w:firstLine="419" w:firstLineChars="149"/>
        <w:jc w:val="left"/>
        <w:rPr>
          <w:rFonts w:ascii="仿宋" w:hAnsi="仿宋" w:eastAsia="仿宋" w:cs="宋体"/>
          <w:kern w:val="0"/>
          <w:sz w:val="28"/>
          <w:szCs w:val="28"/>
        </w:rPr>
      </w:pPr>
      <w:r>
        <w:rPr>
          <w:rFonts w:hint="eastAsia" w:ascii="仿宋" w:hAnsi="仿宋" w:eastAsia="仿宋" w:cs="宋体"/>
          <w:b/>
          <w:kern w:val="0"/>
          <w:sz w:val="28"/>
          <w:szCs w:val="28"/>
        </w:rPr>
        <w:t>（3）有效性较高。</w:t>
      </w:r>
      <w:r>
        <w:rPr>
          <w:rFonts w:hint="eastAsia" w:ascii="仿宋" w:hAnsi="仿宋" w:eastAsia="仿宋" w:cs="宋体"/>
          <w:kern w:val="0"/>
          <w:sz w:val="28"/>
          <w:szCs w:val="28"/>
        </w:rPr>
        <w:t>促进电子商务发展政策的实施，对市本级乃至全市的电子商务发展都起到了较好的推动作用。通过实施问卷调查，项目实施单位</w:t>
      </w:r>
      <w:r>
        <w:rPr>
          <w:rFonts w:ascii="仿宋" w:hAnsi="仿宋" w:eastAsia="仿宋" w:cs="宋体"/>
          <w:kern w:val="0"/>
          <w:sz w:val="28"/>
          <w:szCs w:val="28"/>
        </w:rPr>
        <w:t>和</w:t>
      </w:r>
      <w:r>
        <w:rPr>
          <w:rFonts w:hint="eastAsia" w:ascii="仿宋" w:hAnsi="仿宋" w:eastAsia="仿宋" w:cs="宋体"/>
          <w:kern w:val="0"/>
          <w:sz w:val="28"/>
          <w:szCs w:val="28"/>
        </w:rPr>
        <w:t>培</w:t>
      </w:r>
      <w:r>
        <w:rPr>
          <w:rFonts w:ascii="仿宋" w:hAnsi="仿宋" w:eastAsia="仿宋" w:cs="宋体"/>
          <w:kern w:val="0"/>
          <w:sz w:val="28"/>
          <w:szCs w:val="28"/>
        </w:rPr>
        <w:t>训</w:t>
      </w:r>
      <w:r>
        <w:rPr>
          <w:rFonts w:hint="eastAsia" w:ascii="仿宋" w:hAnsi="仿宋" w:eastAsia="仿宋" w:cs="宋体"/>
          <w:kern w:val="0"/>
          <w:sz w:val="28"/>
          <w:szCs w:val="28"/>
        </w:rPr>
        <w:t>学员对政策的满意度普遍较高。政策实施对促进经济效益的增长和电子商务品牌建设起到了积极作用。</w:t>
      </w:r>
    </w:p>
    <w:p>
      <w:pPr>
        <w:autoSpaceDN w:val="0"/>
        <w:spacing w:line="520" w:lineRule="exact"/>
        <w:ind w:left="141" w:leftChars="67" w:firstLine="417" w:firstLineChars="149"/>
        <w:jc w:val="left"/>
        <w:rPr>
          <w:rFonts w:ascii="仿宋" w:hAnsi="仿宋" w:eastAsia="仿宋" w:cs="宋体"/>
          <w:kern w:val="0"/>
          <w:sz w:val="28"/>
          <w:szCs w:val="28"/>
        </w:rPr>
      </w:pPr>
      <w:r>
        <w:rPr>
          <w:rFonts w:hint="eastAsia" w:ascii="仿宋" w:hAnsi="仿宋" w:eastAsia="仿宋" w:cs="宋体"/>
          <w:kern w:val="0"/>
          <w:sz w:val="28"/>
          <w:szCs w:val="28"/>
        </w:rPr>
        <w:t>市商务局电子商务政策项目的“相关性”得9</w:t>
      </w:r>
      <w:r>
        <w:rPr>
          <w:rFonts w:ascii="仿宋" w:hAnsi="仿宋" w:eastAsia="仿宋" w:cs="宋体"/>
          <w:kern w:val="0"/>
          <w:sz w:val="28"/>
          <w:szCs w:val="28"/>
        </w:rPr>
        <w:t>分、“</w:t>
      </w:r>
      <w:r>
        <w:rPr>
          <w:rFonts w:hint="eastAsia" w:ascii="仿宋" w:hAnsi="仿宋" w:eastAsia="仿宋" w:cs="宋体"/>
          <w:kern w:val="0"/>
          <w:sz w:val="28"/>
          <w:szCs w:val="28"/>
        </w:rPr>
        <w:t>效率</w:t>
      </w:r>
      <w:r>
        <w:rPr>
          <w:rFonts w:ascii="仿宋" w:hAnsi="仿宋" w:eastAsia="仿宋" w:cs="宋体"/>
          <w:kern w:val="0"/>
          <w:sz w:val="28"/>
          <w:szCs w:val="28"/>
        </w:rPr>
        <w:t>性”得</w:t>
      </w:r>
      <w:r>
        <w:rPr>
          <w:rFonts w:hint="eastAsia" w:ascii="仿宋" w:hAnsi="仿宋" w:eastAsia="仿宋" w:cs="宋体"/>
          <w:kern w:val="0"/>
          <w:sz w:val="28"/>
          <w:szCs w:val="28"/>
        </w:rPr>
        <w:t>7</w:t>
      </w:r>
      <w:r>
        <w:rPr>
          <w:rFonts w:ascii="仿宋" w:hAnsi="仿宋" w:eastAsia="仿宋" w:cs="宋体"/>
          <w:kern w:val="0"/>
          <w:sz w:val="28"/>
          <w:szCs w:val="28"/>
        </w:rPr>
        <w:t>分、“</w:t>
      </w:r>
      <w:r>
        <w:rPr>
          <w:rFonts w:hint="eastAsia" w:ascii="仿宋" w:hAnsi="仿宋" w:eastAsia="仿宋" w:cs="宋体"/>
          <w:kern w:val="0"/>
          <w:sz w:val="28"/>
          <w:szCs w:val="28"/>
        </w:rPr>
        <w:t>有</w:t>
      </w:r>
      <w:r>
        <w:rPr>
          <w:rFonts w:ascii="仿宋" w:hAnsi="仿宋" w:eastAsia="仿宋" w:cs="宋体"/>
          <w:kern w:val="0"/>
          <w:sz w:val="28"/>
          <w:szCs w:val="28"/>
        </w:rPr>
        <w:t>效性”得</w:t>
      </w:r>
      <w:r>
        <w:rPr>
          <w:rFonts w:hint="eastAsia" w:ascii="仿宋" w:hAnsi="仿宋" w:eastAsia="仿宋" w:cs="宋体"/>
          <w:kern w:val="0"/>
          <w:sz w:val="28"/>
          <w:szCs w:val="28"/>
        </w:rPr>
        <w:t>8.60</w:t>
      </w:r>
      <w:r>
        <w:rPr>
          <w:rFonts w:ascii="仿宋" w:hAnsi="仿宋" w:eastAsia="仿宋" w:cs="宋体"/>
          <w:kern w:val="0"/>
          <w:sz w:val="28"/>
          <w:szCs w:val="28"/>
        </w:rPr>
        <w:t>分。最终等级为：</w:t>
      </w:r>
      <w:r>
        <w:rPr>
          <w:rFonts w:hint="eastAsia" w:ascii="仿宋" w:hAnsi="仿宋" w:eastAsia="仿宋" w:cs="宋体"/>
          <w:kern w:val="0"/>
          <w:sz w:val="28"/>
          <w:szCs w:val="28"/>
        </w:rPr>
        <w:t>相关</w:t>
      </w:r>
      <w:r>
        <w:rPr>
          <w:rFonts w:ascii="仿宋" w:hAnsi="仿宋" w:eastAsia="仿宋" w:cs="宋体"/>
          <w:kern w:val="0"/>
          <w:sz w:val="28"/>
          <w:szCs w:val="28"/>
        </w:rPr>
        <w:t>性高、效率性一般、</w:t>
      </w:r>
      <w:r>
        <w:rPr>
          <w:rFonts w:hint="eastAsia" w:ascii="仿宋" w:hAnsi="仿宋" w:eastAsia="仿宋" w:cs="宋体"/>
          <w:kern w:val="0"/>
          <w:sz w:val="28"/>
          <w:szCs w:val="28"/>
        </w:rPr>
        <w:t>有</w:t>
      </w:r>
      <w:r>
        <w:rPr>
          <w:rFonts w:ascii="仿宋" w:hAnsi="仿宋" w:eastAsia="仿宋" w:cs="宋体"/>
          <w:kern w:val="0"/>
          <w:sz w:val="28"/>
          <w:szCs w:val="28"/>
        </w:rPr>
        <w:t>效性较</w:t>
      </w:r>
      <w:r>
        <w:rPr>
          <w:rFonts w:hint="eastAsia" w:ascii="仿宋" w:hAnsi="仿宋" w:eastAsia="仿宋" w:cs="宋体"/>
          <w:kern w:val="0"/>
          <w:sz w:val="28"/>
          <w:szCs w:val="28"/>
        </w:rPr>
        <w:t>高</w:t>
      </w:r>
      <w:r>
        <w:rPr>
          <w:rFonts w:ascii="仿宋" w:hAnsi="仿宋" w:eastAsia="仿宋" w:cs="宋体"/>
          <w:kern w:val="0"/>
          <w:sz w:val="28"/>
          <w:szCs w:val="28"/>
        </w:rPr>
        <w:t>（评分说明见附件</w:t>
      </w:r>
      <w:r>
        <w:rPr>
          <w:rFonts w:hint="eastAsia" w:ascii="仿宋" w:hAnsi="仿宋" w:eastAsia="仿宋" w:cs="宋体"/>
          <w:kern w:val="0"/>
          <w:sz w:val="28"/>
          <w:szCs w:val="28"/>
        </w:rPr>
        <w:t>2</w:t>
      </w:r>
      <w:r>
        <w:rPr>
          <w:rFonts w:ascii="仿宋" w:hAnsi="仿宋" w:eastAsia="仿宋" w:cs="宋体"/>
          <w:kern w:val="0"/>
          <w:sz w:val="28"/>
          <w:szCs w:val="28"/>
        </w:rPr>
        <w:t>）。</w:t>
      </w:r>
    </w:p>
    <w:p>
      <w:pPr>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（六）存在的主要问题</w:t>
      </w:r>
    </w:p>
    <w:p>
      <w:pPr>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1、绩效目标不够明确，计划执行率较低</w:t>
      </w:r>
    </w:p>
    <w:p>
      <w:pPr>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根据《关于促进丽水市电子商务发展的实施意见》（丽委发</w:t>
      </w:r>
      <w:r>
        <w:rPr>
          <w:rFonts w:ascii="仿宋" w:hAnsi="仿宋" w:eastAsia="仿宋" w:cs="Times New Roman"/>
          <w:sz w:val="28"/>
          <w:szCs w:val="28"/>
        </w:rPr>
        <w:t xml:space="preserve"> 〔2015〕23号），</w:t>
      </w:r>
      <w:r>
        <w:rPr>
          <w:rFonts w:hint="eastAsia" w:ascii="仿宋" w:hAnsi="仿宋" w:eastAsia="仿宋" w:cs="Times New Roman"/>
          <w:sz w:val="28"/>
          <w:szCs w:val="28"/>
        </w:rPr>
        <w:t>市</w:t>
      </w:r>
      <w:r>
        <w:rPr>
          <w:rFonts w:ascii="仿宋" w:hAnsi="仿宋" w:eastAsia="仿宋" w:cs="Times New Roman"/>
          <w:sz w:val="28"/>
          <w:szCs w:val="28"/>
        </w:rPr>
        <w:t>级财政每年安排2000万元用于促进全市电子商务发展，其中300万元用于农村电子商务发展。市财政局联合市商务局、团市委制定了《丽水市促进电子商务发展资金管理使用办法》（丽财行〔2016〕187号</w:t>
      </w:r>
      <w:r>
        <w:rPr>
          <w:rFonts w:hint="eastAsia" w:ascii="仿宋" w:hAnsi="仿宋" w:eastAsia="仿宋" w:cs="Times New Roman"/>
          <w:sz w:val="28"/>
          <w:szCs w:val="28"/>
        </w:rPr>
        <w:t>文件</w:t>
      </w:r>
      <w:r>
        <w:rPr>
          <w:rFonts w:ascii="仿宋" w:hAnsi="仿宋" w:eastAsia="仿宋" w:cs="Times New Roman"/>
          <w:sz w:val="28"/>
          <w:szCs w:val="28"/>
        </w:rPr>
        <w:t>），明确了2000万</w:t>
      </w:r>
      <w:r>
        <w:rPr>
          <w:rFonts w:hint="eastAsia" w:ascii="仿宋" w:hAnsi="仿宋" w:eastAsia="仿宋" w:cs="Times New Roman"/>
          <w:sz w:val="28"/>
          <w:szCs w:val="28"/>
        </w:rPr>
        <w:t>元专项</w:t>
      </w:r>
      <w:r>
        <w:rPr>
          <w:rFonts w:ascii="仿宋" w:hAnsi="仿宋" w:eastAsia="仿宋" w:cs="Times New Roman"/>
          <w:sz w:val="28"/>
          <w:szCs w:val="28"/>
        </w:rPr>
        <w:t>资金的使用</w:t>
      </w:r>
      <w:r>
        <w:rPr>
          <w:rFonts w:hint="eastAsia" w:ascii="仿宋" w:hAnsi="仿宋" w:eastAsia="仿宋" w:cs="Times New Roman"/>
          <w:sz w:val="28"/>
          <w:szCs w:val="28"/>
        </w:rPr>
        <w:t>范围</w:t>
      </w:r>
      <w:r>
        <w:rPr>
          <w:rFonts w:ascii="仿宋" w:hAnsi="仿宋" w:eastAsia="仿宋" w:cs="Times New Roman"/>
          <w:sz w:val="28"/>
          <w:szCs w:val="28"/>
        </w:rPr>
        <w:t>，确保丽水市电子商务发展引导资金科学、合理、有效地使用</w:t>
      </w:r>
      <w:r>
        <w:rPr>
          <w:rFonts w:hint="eastAsia" w:ascii="仿宋" w:hAnsi="仿宋" w:eastAsia="仿宋" w:cs="Times New Roman"/>
          <w:sz w:val="28"/>
          <w:szCs w:val="28"/>
        </w:rPr>
        <w:t>。但对政策实施和专项资金的分配使用，市商务局中长期规划不够明确，年度绩效目标不够明确及细化，项目实施缺乏计划性和系统性。2016年实际使用专项资金为</w:t>
      </w:r>
      <w:r>
        <w:rPr>
          <w:rFonts w:ascii="仿宋" w:hAnsi="仿宋" w:eastAsia="仿宋" w:cs="Times New Roman"/>
          <w:sz w:val="28"/>
          <w:szCs w:val="28"/>
        </w:rPr>
        <w:t>334.99万元</w:t>
      </w:r>
      <w:r>
        <w:rPr>
          <w:rFonts w:hint="eastAsia" w:ascii="仿宋" w:hAnsi="仿宋" w:eastAsia="仿宋" w:cs="Times New Roman"/>
          <w:sz w:val="28"/>
          <w:szCs w:val="28"/>
        </w:rPr>
        <w:t>，仅完成市电商计划(1700万元)资金的19.71</w:t>
      </w:r>
      <w:r>
        <w:rPr>
          <w:rFonts w:ascii="仿宋" w:hAnsi="仿宋" w:eastAsia="仿宋" w:cs="Times New Roman"/>
          <w:sz w:val="28"/>
          <w:szCs w:val="28"/>
        </w:rPr>
        <w:t>%</w:t>
      </w:r>
      <w:r>
        <w:rPr>
          <w:rFonts w:hint="eastAsia" w:ascii="仿宋" w:hAnsi="仿宋" w:eastAsia="仿宋" w:cs="Times New Roman"/>
          <w:sz w:val="28"/>
          <w:szCs w:val="28"/>
        </w:rPr>
        <w:t>；</w:t>
      </w:r>
      <w:r>
        <w:rPr>
          <w:rFonts w:ascii="仿宋" w:hAnsi="仿宋" w:eastAsia="仿宋" w:cs="Times New Roman"/>
          <w:sz w:val="28"/>
          <w:szCs w:val="28"/>
        </w:rPr>
        <w:t>2017年</w:t>
      </w:r>
      <w:r>
        <w:rPr>
          <w:rFonts w:hint="eastAsia" w:ascii="仿宋" w:hAnsi="仿宋" w:eastAsia="仿宋" w:cs="Times New Roman"/>
          <w:sz w:val="28"/>
          <w:szCs w:val="28"/>
        </w:rPr>
        <w:t>使用</w:t>
      </w:r>
      <w:r>
        <w:rPr>
          <w:rFonts w:ascii="仿宋" w:hAnsi="仿宋" w:eastAsia="仿宋" w:cs="Times New Roman"/>
          <w:sz w:val="28"/>
          <w:szCs w:val="28"/>
        </w:rPr>
        <w:t>专项资金1</w:t>
      </w:r>
      <w:r>
        <w:rPr>
          <w:rFonts w:hint="eastAsia" w:ascii="仿宋" w:hAnsi="仿宋" w:eastAsia="仿宋" w:cs="Times New Roman"/>
          <w:sz w:val="28"/>
          <w:szCs w:val="28"/>
        </w:rPr>
        <w:t>,</w:t>
      </w:r>
      <w:r>
        <w:rPr>
          <w:rFonts w:ascii="仿宋" w:hAnsi="仿宋" w:eastAsia="仿宋" w:cs="Times New Roman"/>
          <w:sz w:val="28"/>
          <w:szCs w:val="28"/>
        </w:rPr>
        <w:t>2</w:t>
      </w:r>
      <w:r>
        <w:rPr>
          <w:rFonts w:hint="eastAsia" w:ascii="仿宋" w:hAnsi="仿宋" w:eastAsia="仿宋" w:cs="Times New Roman"/>
          <w:sz w:val="28"/>
          <w:szCs w:val="28"/>
        </w:rPr>
        <w:t>77.05</w:t>
      </w:r>
      <w:r>
        <w:rPr>
          <w:rFonts w:ascii="仿宋" w:hAnsi="仿宋" w:eastAsia="仿宋" w:cs="Times New Roman"/>
          <w:sz w:val="28"/>
          <w:szCs w:val="28"/>
        </w:rPr>
        <w:t>万元</w:t>
      </w:r>
      <w:r>
        <w:rPr>
          <w:rFonts w:hint="eastAsia" w:ascii="仿宋" w:hAnsi="仿宋" w:eastAsia="仿宋" w:cs="Times New Roman"/>
          <w:sz w:val="28"/>
          <w:szCs w:val="28"/>
        </w:rPr>
        <w:t>，完成市电商预算计划</w:t>
      </w:r>
      <w:r>
        <w:rPr>
          <w:rFonts w:ascii="仿宋" w:hAnsi="仿宋" w:eastAsia="仿宋" w:cs="Times New Roman"/>
          <w:sz w:val="28"/>
          <w:szCs w:val="28"/>
        </w:rPr>
        <w:t>(1700万元)</w:t>
      </w:r>
      <w:r>
        <w:rPr>
          <w:rFonts w:hint="eastAsia" w:ascii="仿宋" w:hAnsi="仿宋" w:eastAsia="仿宋" w:cs="Times New Roman"/>
          <w:sz w:val="28"/>
          <w:szCs w:val="28"/>
        </w:rPr>
        <w:t>的75.12</w:t>
      </w:r>
      <w:r>
        <w:rPr>
          <w:rFonts w:ascii="仿宋" w:hAnsi="仿宋" w:eastAsia="仿宋" w:cs="Times New Roman"/>
          <w:sz w:val="28"/>
          <w:szCs w:val="28"/>
        </w:rPr>
        <w:t>%</w:t>
      </w:r>
      <w:r>
        <w:rPr>
          <w:rFonts w:hint="eastAsia" w:ascii="仿宋" w:hAnsi="仿宋" w:eastAsia="仿宋" w:cs="Times New Roman"/>
          <w:sz w:val="28"/>
          <w:szCs w:val="28"/>
        </w:rPr>
        <w:t>；</w:t>
      </w:r>
      <w:r>
        <w:rPr>
          <w:rFonts w:ascii="仿宋" w:hAnsi="仿宋" w:eastAsia="仿宋" w:cs="Times New Roman"/>
          <w:sz w:val="28"/>
          <w:szCs w:val="28"/>
        </w:rPr>
        <w:t>2018年</w:t>
      </w:r>
      <w:r>
        <w:rPr>
          <w:rFonts w:hint="eastAsia" w:ascii="仿宋" w:hAnsi="仿宋" w:eastAsia="仿宋" w:cs="Times New Roman"/>
          <w:sz w:val="28"/>
          <w:szCs w:val="28"/>
        </w:rPr>
        <w:t>实际使用</w:t>
      </w:r>
      <w:r>
        <w:rPr>
          <w:rFonts w:ascii="仿宋" w:hAnsi="仿宋" w:eastAsia="仿宋" w:cs="Times New Roman"/>
          <w:sz w:val="28"/>
          <w:szCs w:val="28"/>
        </w:rPr>
        <w:t>专项资金916.</w:t>
      </w:r>
      <w:r>
        <w:rPr>
          <w:rFonts w:hint="eastAsia" w:ascii="仿宋" w:hAnsi="仿宋" w:eastAsia="仿宋" w:cs="Times New Roman"/>
          <w:sz w:val="28"/>
          <w:szCs w:val="28"/>
        </w:rPr>
        <w:t>73</w:t>
      </w:r>
      <w:r>
        <w:rPr>
          <w:rFonts w:ascii="仿宋" w:hAnsi="仿宋" w:eastAsia="仿宋" w:cs="Times New Roman"/>
          <w:sz w:val="28"/>
          <w:szCs w:val="28"/>
        </w:rPr>
        <w:t>万元</w:t>
      </w:r>
      <w:r>
        <w:rPr>
          <w:rFonts w:hint="eastAsia" w:ascii="仿宋" w:hAnsi="仿宋" w:eastAsia="仿宋" w:cs="Times New Roman"/>
          <w:sz w:val="28"/>
          <w:szCs w:val="28"/>
        </w:rPr>
        <w:t>，仅完成市电商预算计划</w:t>
      </w:r>
      <w:r>
        <w:rPr>
          <w:rFonts w:ascii="仿宋" w:hAnsi="仿宋" w:eastAsia="仿宋" w:cs="Times New Roman"/>
          <w:sz w:val="28"/>
          <w:szCs w:val="28"/>
        </w:rPr>
        <w:t>(1700万元)</w:t>
      </w:r>
      <w:r>
        <w:rPr>
          <w:rFonts w:hint="eastAsia" w:ascii="仿宋" w:hAnsi="仿宋" w:eastAsia="仿宋" w:cs="Times New Roman"/>
          <w:sz w:val="28"/>
          <w:szCs w:val="28"/>
        </w:rPr>
        <w:t>的53.92</w:t>
      </w:r>
      <w:r>
        <w:rPr>
          <w:rFonts w:ascii="仿宋" w:hAnsi="仿宋" w:eastAsia="仿宋" w:cs="Times New Roman"/>
          <w:sz w:val="28"/>
          <w:szCs w:val="28"/>
        </w:rPr>
        <w:t>%</w:t>
      </w:r>
      <w:r>
        <w:rPr>
          <w:rFonts w:hint="eastAsia" w:ascii="仿宋" w:hAnsi="仿宋" w:eastAsia="仿宋" w:cs="Times New Roman"/>
          <w:sz w:val="28"/>
          <w:szCs w:val="28"/>
        </w:rPr>
        <w:t>。</w:t>
      </w:r>
    </w:p>
    <w:p>
      <w:pPr>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2、个别项目过程管理不到位，影响补助资金绩效</w:t>
      </w:r>
    </w:p>
    <w:p>
      <w:pPr>
        <w:spacing w:line="520" w:lineRule="exact"/>
        <w:ind w:firstLine="548" w:firstLineChars="196"/>
        <w:rPr>
          <w:rFonts w:hint="eastAsia" w:ascii="仿宋" w:hAnsi="仿宋" w:eastAsia="仿宋" w:cs="Times New Roman"/>
          <w:sz w:val="28"/>
          <w:szCs w:val="28"/>
        </w:rPr>
      </w:pPr>
      <w:r>
        <w:rPr>
          <w:rFonts w:hint="eastAsia" w:ascii="仿宋" w:hAnsi="仿宋" w:eastAsia="仿宋" w:cs="Times New Roman"/>
          <w:sz w:val="28"/>
          <w:szCs w:val="28"/>
        </w:rPr>
        <w:t>（1）丽水市商务局提供的管理制度有《中共丽水市商务局党组会议议事规则》、《丽水市商务局“三重一大”集体研究制度》等共</w:t>
      </w:r>
      <w:r>
        <w:rPr>
          <w:rFonts w:ascii="仿宋" w:hAnsi="仿宋" w:eastAsia="仿宋" w:cs="Times New Roman"/>
          <w:sz w:val="28"/>
          <w:szCs w:val="28"/>
        </w:rPr>
        <w:t>18个规章制度，其中涉及电商项目的制度有《丽水市商务局项目采购审批制度》</w:t>
      </w:r>
      <w:r>
        <w:rPr>
          <w:rFonts w:hint="eastAsia" w:ascii="仿宋" w:hAnsi="仿宋" w:eastAsia="仿宋" w:cs="Times New Roman"/>
          <w:sz w:val="28"/>
          <w:szCs w:val="28"/>
        </w:rPr>
        <w:t>、</w:t>
      </w:r>
      <w:r>
        <w:rPr>
          <w:rFonts w:ascii="仿宋" w:hAnsi="仿宋" w:eastAsia="仿宋" w:cs="Times New Roman"/>
          <w:sz w:val="28"/>
          <w:szCs w:val="28"/>
        </w:rPr>
        <w:t>《丽水市商务局商务促进政策专项资金使用管理暂行办法》</w:t>
      </w:r>
      <w:r>
        <w:rPr>
          <w:rFonts w:hint="eastAsia" w:ascii="仿宋" w:hAnsi="仿宋" w:eastAsia="仿宋" w:cs="Times New Roman"/>
          <w:sz w:val="28"/>
          <w:szCs w:val="28"/>
        </w:rPr>
        <w:t>、</w:t>
      </w:r>
      <w:r>
        <w:rPr>
          <w:rFonts w:ascii="仿宋" w:hAnsi="仿宋" w:eastAsia="仿宋" w:cs="Times New Roman"/>
          <w:sz w:val="28"/>
          <w:szCs w:val="28"/>
        </w:rPr>
        <w:t>《丽水市商务局促进财政专项资金现场核查制度》</w:t>
      </w:r>
      <w:r>
        <w:rPr>
          <w:rFonts w:hint="eastAsia" w:ascii="仿宋" w:hAnsi="仿宋" w:eastAsia="仿宋" w:cs="Times New Roman"/>
          <w:sz w:val="28"/>
          <w:szCs w:val="28"/>
        </w:rPr>
        <w:t>、</w:t>
      </w:r>
      <w:r>
        <w:rPr>
          <w:rFonts w:ascii="仿宋" w:hAnsi="仿宋" w:eastAsia="仿宋" w:cs="Times New Roman"/>
          <w:sz w:val="28"/>
          <w:szCs w:val="28"/>
        </w:rPr>
        <w:t>《丽水市商务局电子商务专项资金管理与监督办法》</w:t>
      </w:r>
      <w:r>
        <w:rPr>
          <w:rFonts w:hint="eastAsia" w:ascii="仿宋" w:hAnsi="仿宋" w:eastAsia="仿宋" w:cs="Times New Roman"/>
          <w:sz w:val="28"/>
          <w:szCs w:val="28"/>
        </w:rPr>
        <w:t>、</w:t>
      </w:r>
      <w:r>
        <w:rPr>
          <w:rFonts w:ascii="仿宋" w:hAnsi="仿宋" w:eastAsia="仿宋" w:cs="Times New Roman"/>
          <w:sz w:val="28"/>
          <w:szCs w:val="28"/>
        </w:rPr>
        <w:t>《丽水市商务局资金使用绩效评价制度》等制度，制度较为完善。</w:t>
      </w:r>
      <w:r>
        <w:rPr>
          <w:rFonts w:hint="eastAsia" w:ascii="仿宋" w:hAnsi="仿宋" w:eastAsia="仿宋" w:cs="Times New Roman"/>
          <w:sz w:val="28"/>
          <w:szCs w:val="28"/>
        </w:rPr>
        <w:t>但在绩效评价过程中发现，存在个别项目管理不到位、项目过程管理较薄弱等情况。如市商务局与天津亿玛科技有限公司就“阿里巴巴</w:t>
      </w:r>
      <w:r>
        <w:rPr>
          <w:rFonts w:hint="eastAsia" w:ascii="仿宋" w:hAnsi="仿宋" w:eastAsia="仿宋" w:cs="Times New Roman"/>
          <w:b/>
          <w:sz w:val="28"/>
          <w:szCs w:val="28"/>
        </w:rPr>
        <w:t>.</w:t>
      </w:r>
      <w:r>
        <w:rPr>
          <w:rFonts w:hint="eastAsia" w:ascii="仿宋" w:hAnsi="仿宋" w:eastAsia="仿宋" w:cs="Times New Roman"/>
          <w:sz w:val="28"/>
          <w:szCs w:val="28"/>
        </w:rPr>
        <w:t>丽水产业带广告推广项目”签署广告投放合作协议，合同标的额为</w:t>
      </w:r>
      <w:r>
        <w:rPr>
          <w:rFonts w:ascii="仿宋" w:hAnsi="仿宋" w:eastAsia="仿宋" w:cs="Times New Roman"/>
          <w:sz w:val="28"/>
          <w:szCs w:val="28"/>
        </w:rPr>
        <w:t>150万元。据合同约定，天津亿玛科技公司应在合同约定的时间内向市商务局缴纳</w:t>
      </w:r>
      <w:r>
        <w:rPr>
          <w:rFonts w:hint="eastAsia" w:ascii="仿宋" w:hAnsi="仿宋" w:eastAsia="仿宋" w:cs="Times New Roman"/>
          <w:sz w:val="28"/>
          <w:szCs w:val="28"/>
        </w:rPr>
        <w:t>15万元</w:t>
      </w:r>
      <w:r>
        <w:rPr>
          <w:rFonts w:ascii="仿宋" w:hAnsi="仿宋" w:eastAsia="仿宋" w:cs="Times New Roman"/>
          <w:sz w:val="28"/>
          <w:szCs w:val="28"/>
        </w:rPr>
        <w:t>履约保证金</w:t>
      </w:r>
      <w:r>
        <w:rPr>
          <w:rFonts w:hint="eastAsia" w:ascii="仿宋" w:hAnsi="仿宋" w:eastAsia="仿宋" w:cs="Times New Roman"/>
          <w:sz w:val="28"/>
          <w:szCs w:val="28"/>
        </w:rPr>
        <w:t>。</w:t>
      </w:r>
      <w:r>
        <w:rPr>
          <w:rFonts w:ascii="仿宋" w:hAnsi="仿宋" w:eastAsia="仿宋" w:cs="Times New Roman"/>
          <w:sz w:val="28"/>
          <w:szCs w:val="28"/>
        </w:rPr>
        <w:t>市商务局已于2016年6月6日收到上述履约保证金</w:t>
      </w:r>
      <w:r>
        <w:rPr>
          <w:rFonts w:hint="eastAsia" w:ascii="仿宋" w:hAnsi="仿宋" w:eastAsia="仿宋" w:cs="Times New Roman"/>
          <w:sz w:val="28"/>
          <w:szCs w:val="28"/>
        </w:rPr>
        <w:t>，</w:t>
      </w:r>
      <w:r>
        <w:rPr>
          <w:rFonts w:ascii="仿宋" w:hAnsi="仿宋" w:eastAsia="仿宋" w:cs="Times New Roman"/>
          <w:sz w:val="28"/>
          <w:szCs w:val="28"/>
        </w:rPr>
        <w:t>但2016年6月15日又以无法开具收据为由将上述履约保证金退回天津亿玛科技公司。市商务局</w:t>
      </w:r>
      <w:r>
        <w:rPr>
          <w:rFonts w:hint="eastAsia" w:ascii="仿宋" w:hAnsi="仿宋" w:eastAsia="仿宋" w:cs="Times New Roman"/>
          <w:sz w:val="28"/>
          <w:szCs w:val="28"/>
        </w:rPr>
        <w:t>根据合同按照项目实施进度共拨付了</w:t>
      </w:r>
      <w:r>
        <w:rPr>
          <w:rFonts w:ascii="仿宋" w:hAnsi="仿宋" w:eastAsia="仿宋" w:cs="Times New Roman"/>
          <w:sz w:val="28"/>
          <w:szCs w:val="28"/>
        </w:rPr>
        <w:t>合同价款的80%，即120万元</w:t>
      </w:r>
      <w:r>
        <w:rPr>
          <w:rFonts w:hint="eastAsia" w:ascii="仿宋" w:hAnsi="仿宋" w:eastAsia="仿宋" w:cs="Times New Roman"/>
          <w:sz w:val="28"/>
          <w:szCs w:val="28"/>
        </w:rPr>
        <w:t>，后由于阿里巴巴关于产业带项目业务调整以及天津亿玛科技公司方面的原因，该广告推广项目未整体实施完成，剩余项目款项未拨付给天津亿玛科技公司。由于15万元保证金实际未收取，无法抵偿损失，加大了项目的损失额度。</w:t>
      </w:r>
    </w:p>
    <w:p>
      <w:pPr>
        <w:spacing w:line="520" w:lineRule="exact"/>
        <w:ind w:firstLine="548" w:firstLineChars="196"/>
        <w:rPr>
          <w:rFonts w:hint="eastAsia" w:ascii="仿宋" w:hAnsi="仿宋" w:eastAsia="仿宋" w:cs="Times New Roman"/>
          <w:sz w:val="28"/>
          <w:szCs w:val="28"/>
        </w:rPr>
      </w:pPr>
      <w:r>
        <w:rPr>
          <w:rFonts w:hint="eastAsia" w:ascii="仿宋" w:hAnsi="仿宋" w:eastAsia="仿宋" w:cs="Times New Roman"/>
          <w:sz w:val="28"/>
          <w:szCs w:val="28"/>
        </w:rPr>
        <w:t>（2）市商务局对《丽水市商务促进财政专项资金现场核查制度》的执行不够到位。如</w:t>
      </w:r>
      <w:r>
        <w:rPr>
          <w:rFonts w:ascii="仿宋" w:hAnsi="仿宋" w:eastAsia="仿宋" w:cs="Times New Roman"/>
          <w:sz w:val="28"/>
          <w:szCs w:val="28"/>
        </w:rPr>
        <w:t>丽水市特色产品020项目管理</w:t>
      </w:r>
      <w:r>
        <w:rPr>
          <w:rFonts w:hint="eastAsia" w:ascii="仿宋" w:hAnsi="仿宋" w:eastAsia="仿宋" w:cs="Times New Roman"/>
          <w:sz w:val="28"/>
          <w:szCs w:val="28"/>
        </w:rPr>
        <w:t>缺乏</w:t>
      </w:r>
      <w:r>
        <w:rPr>
          <w:rFonts w:ascii="仿宋" w:hAnsi="仿宋" w:eastAsia="仿宋" w:cs="Times New Roman"/>
          <w:sz w:val="28"/>
          <w:szCs w:val="28"/>
        </w:rPr>
        <w:t>对关联方交易</w:t>
      </w:r>
      <w:r>
        <w:rPr>
          <w:rFonts w:hint="eastAsia" w:ascii="仿宋" w:hAnsi="仿宋" w:eastAsia="仿宋" w:cs="Times New Roman"/>
          <w:sz w:val="28"/>
          <w:szCs w:val="28"/>
        </w:rPr>
        <w:t>的</w:t>
      </w:r>
      <w:r>
        <w:rPr>
          <w:rFonts w:ascii="仿宋" w:hAnsi="仿宋" w:eastAsia="仿宋" w:cs="Times New Roman"/>
          <w:sz w:val="28"/>
          <w:szCs w:val="28"/>
        </w:rPr>
        <w:t>监管</w:t>
      </w:r>
      <w:r>
        <w:rPr>
          <w:rFonts w:hint="eastAsia" w:ascii="仿宋" w:hAnsi="仿宋" w:eastAsia="仿宋" w:cs="Times New Roman"/>
          <w:sz w:val="28"/>
          <w:szCs w:val="28"/>
        </w:rPr>
        <w:t>，在租金支付控制方面存在只关注程序资料，缺少现场核实或未记录现场核实等实质性的程序。经查，丽水市特色产品</w:t>
      </w:r>
      <w:r>
        <w:rPr>
          <w:rFonts w:ascii="仿宋" w:hAnsi="仿宋" w:eastAsia="仿宋" w:cs="Times New Roman"/>
          <w:sz w:val="28"/>
          <w:szCs w:val="28"/>
        </w:rPr>
        <w:t>020项目，成交供应商为浙江山山网络科技股份有限公司，</w:t>
      </w:r>
      <w:r>
        <w:rPr>
          <w:rFonts w:hint="eastAsia" w:ascii="仿宋" w:hAnsi="仿宋" w:eastAsia="仿宋" w:cs="Times New Roman"/>
          <w:sz w:val="28"/>
          <w:szCs w:val="28"/>
        </w:rPr>
        <w:t>项目</w:t>
      </w:r>
      <w:r>
        <w:rPr>
          <w:rFonts w:ascii="仿宋" w:hAnsi="仿宋" w:eastAsia="仿宋" w:cs="Times New Roman"/>
          <w:sz w:val="28"/>
          <w:szCs w:val="28"/>
        </w:rPr>
        <w:t>选址位于</w:t>
      </w:r>
      <w:r>
        <w:rPr>
          <w:rFonts w:hint="eastAsia" w:ascii="仿宋" w:hAnsi="仿宋" w:eastAsia="仿宋" w:cs="Times New Roman"/>
          <w:sz w:val="28"/>
          <w:szCs w:val="28"/>
        </w:rPr>
        <w:t>括苍北路</w:t>
      </w:r>
      <w:r>
        <w:rPr>
          <w:rFonts w:ascii="仿宋" w:hAnsi="仿宋" w:eastAsia="仿宋" w:cs="Times New Roman"/>
          <w:sz w:val="28"/>
          <w:szCs w:val="28"/>
        </w:rPr>
        <w:t>山山梦想城主入口位置，总面积517平方米</w:t>
      </w:r>
      <w:r>
        <w:rPr>
          <w:rFonts w:hint="eastAsia" w:ascii="仿宋" w:hAnsi="仿宋" w:eastAsia="仿宋" w:cs="Times New Roman"/>
          <w:sz w:val="28"/>
          <w:szCs w:val="28"/>
        </w:rPr>
        <w:t>，场地</w:t>
      </w:r>
      <w:r>
        <w:rPr>
          <w:rFonts w:ascii="仿宋" w:hAnsi="仿宋" w:eastAsia="仿宋" w:cs="Times New Roman"/>
          <w:sz w:val="28"/>
          <w:szCs w:val="28"/>
        </w:rPr>
        <w:t>的出租方为丽水财源信息科技有限公司</w:t>
      </w:r>
      <w:r>
        <w:rPr>
          <w:rFonts w:hint="eastAsia" w:ascii="仿宋" w:hAnsi="仿宋" w:eastAsia="仿宋" w:cs="Times New Roman"/>
          <w:sz w:val="28"/>
          <w:szCs w:val="28"/>
        </w:rPr>
        <w:t>。该公司为浙江山山网络科技股份有限公司的全资子公司，两公司均为同一法人，系关联方。根据市商务局与浙江山山网络科技签订的项目采购合同规定，</w:t>
      </w:r>
      <w:r>
        <w:rPr>
          <w:rFonts w:ascii="仿宋" w:hAnsi="仿宋" w:eastAsia="仿宋" w:cs="Times New Roman"/>
          <w:sz w:val="28"/>
          <w:szCs w:val="28"/>
        </w:rPr>
        <w:t>020</w:t>
      </w:r>
      <w:r>
        <w:rPr>
          <w:rFonts w:hint="eastAsia" w:ascii="仿宋" w:hAnsi="仿宋" w:eastAsia="仿宋" w:cs="Times New Roman"/>
          <w:sz w:val="28"/>
          <w:szCs w:val="28"/>
        </w:rPr>
        <w:t>项目实施所产生的年场地租金由市商务局全额补助，但最高不超过人民币80万元/年</w:t>
      </w:r>
      <w:r>
        <w:rPr>
          <w:rFonts w:ascii="仿宋" w:hAnsi="仿宋" w:eastAsia="仿宋" w:cs="Times New Roman"/>
          <w:sz w:val="28"/>
          <w:szCs w:val="28"/>
        </w:rPr>
        <w:t>租金</w:t>
      </w:r>
      <w:r>
        <w:rPr>
          <w:rFonts w:hint="eastAsia" w:ascii="仿宋" w:hAnsi="仿宋" w:eastAsia="仿宋" w:cs="Times New Roman"/>
          <w:sz w:val="28"/>
          <w:szCs w:val="28"/>
        </w:rPr>
        <w:t>。</w:t>
      </w:r>
      <w:r>
        <w:rPr>
          <w:rFonts w:ascii="仿宋" w:hAnsi="仿宋" w:eastAsia="仿宋" w:cs="Times New Roman"/>
          <w:sz w:val="28"/>
          <w:szCs w:val="28"/>
        </w:rPr>
        <w:t>浙江山山网络科技股份有限公司按照每平方米每月128元</w:t>
      </w:r>
      <w:r>
        <w:rPr>
          <w:rFonts w:hint="eastAsia" w:ascii="仿宋" w:hAnsi="仿宋" w:eastAsia="仿宋" w:cs="Times New Roman"/>
          <w:sz w:val="28"/>
          <w:szCs w:val="28"/>
        </w:rPr>
        <w:t>的标准向</w:t>
      </w:r>
      <w:r>
        <w:rPr>
          <w:rFonts w:ascii="仿宋" w:hAnsi="仿宋" w:eastAsia="仿宋" w:cs="Times New Roman"/>
          <w:sz w:val="28"/>
          <w:szCs w:val="28"/>
        </w:rPr>
        <w:t>丽水财源信息科技有限公司支付</w:t>
      </w:r>
      <w:r>
        <w:rPr>
          <w:rFonts w:hint="eastAsia" w:ascii="仿宋" w:hAnsi="仿宋" w:eastAsia="仿宋" w:cs="Times New Roman"/>
          <w:sz w:val="28"/>
          <w:szCs w:val="28"/>
        </w:rPr>
        <w:t>租金，年租金为794,112.00元，市商务局于</w:t>
      </w:r>
      <w:r>
        <w:rPr>
          <w:rFonts w:ascii="仿宋" w:hAnsi="仿宋" w:eastAsia="仿宋" w:cs="Times New Roman"/>
          <w:sz w:val="28"/>
          <w:szCs w:val="28"/>
        </w:rPr>
        <w:t>2017年12</w:t>
      </w:r>
      <w:r>
        <w:rPr>
          <w:rFonts w:hint="eastAsia" w:ascii="仿宋" w:hAnsi="仿宋" w:eastAsia="仿宋" w:cs="Times New Roman"/>
          <w:sz w:val="28"/>
          <w:szCs w:val="28"/>
        </w:rPr>
        <w:t>月和</w:t>
      </w:r>
      <w:r>
        <w:rPr>
          <w:rFonts w:ascii="仿宋" w:hAnsi="仿宋" w:eastAsia="仿宋" w:cs="Times New Roman"/>
          <w:sz w:val="28"/>
          <w:szCs w:val="28"/>
        </w:rPr>
        <w:t>2018年1</w:t>
      </w:r>
      <w:r>
        <w:rPr>
          <w:rFonts w:hint="eastAsia" w:ascii="仿宋" w:hAnsi="仿宋" w:eastAsia="仿宋" w:cs="Times New Roman"/>
          <w:sz w:val="28"/>
          <w:szCs w:val="28"/>
        </w:rPr>
        <w:t>0</w:t>
      </w:r>
      <w:r>
        <w:rPr>
          <w:rFonts w:ascii="仿宋" w:hAnsi="仿宋" w:eastAsia="仿宋" w:cs="Times New Roman"/>
          <w:sz w:val="28"/>
          <w:szCs w:val="28"/>
        </w:rPr>
        <w:t>月分2</w:t>
      </w:r>
      <w:r>
        <w:rPr>
          <w:rFonts w:hint="eastAsia" w:ascii="仿宋" w:hAnsi="仿宋" w:eastAsia="仿宋" w:cs="Times New Roman"/>
          <w:sz w:val="28"/>
          <w:szCs w:val="28"/>
        </w:rPr>
        <w:t>次将</w:t>
      </w:r>
      <w:r>
        <w:rPr>
          <w:rFonts w:ascii="仿宋" w:hAnsi="仿宋" w:eastAsia="仿宋" w:cs="Times New Roman"/>
          <w:sz w:val="28"/>
          <w:szCs w:val="28"/>
        </w:rPr>
        <w:t>794</w:t>
      </w:r>
      <w:r>
        <w:rPr>
          <w:rFonts w:hint="eastAsia" w:ascii="仿宋" w:hAnsi="仿宋" w:eastAsia="仿宋" w:cs="Times New Roman"/>
          <w:sz w:val="28"/>
          <w:szCs w:val="28"/>
        </w:rPr>
        <w:t>,</w:t>
      </w:r>
      <w:r>
        <w:rPr>
          <w:rFonts w:ascii="仿宋" w:hAnsi="仿宋" w:eastAsia="仿宋" w:cs="Times New Roman"/>
          <w:sz w:val="28"/>
          <w:szCs w:val="28"/>
        </w:rPr>
        <w:t>112</w:t>
      </w:r>
      <w:r>
        <w:rPr>
          <w:rFonts w:hint="eastAsia" w:ascii="仿宋" w:hAnsi="仿宋" w:eastAsia="仿宋" w:cs="Times New Roman"/>
          <w:sz w:val="28"/>
          <w:szCs w:val="28"/>
        </w:rPr>
        <w:t>.00</w:t>
      </w:r>
      <w:r>
        <w:rPr>
          <w:rFonts w:ascii="仿宋" w:hAnsi="仿宋" w:eastAsia="仿宋" w:cs="Times New Roman"/>
          <w:sz w:val="28"/>
          <w:szCs w:val="28"/>
        </w:rPr>
        <w:t>元场地租金</w:t>
      </w:r>
      <w:r>
        <w:rPr>
          <w:rFonts w:hint="eastAsia" w:ascii="仿宋" w:hAnsi="仿宋" w:eastAsia="仿宋" w:cs="Times New Roman"/>
          <w:sz w:val="28"/>
          <w:szCs w:val="28"/>
        </w:rPr>
        <w:t>全额</w:t>
      </w:r>
      <w:r>
        <w:rPr>
          <w:rFonts w:ascii="仿宋" w:hAnsi="仿宋" w:eastAsia="仿宋" w:cs="Times New Roman"/>
          <w:sz w:val="28"/>
          <w:szCs w:val="28"/>
        </w:rPr>
        <w:t>补</w:t>
      </w:r>
      <w:r>
        <w:rPr>
          <w:rFonts w:hint="eastAsia" w:ascii="仿宋" w:hAnsi="仿宋" w:eastAsia="仿宋" w:cs="Times New Roman"/>
          <w:sz w:val="28"/>
          <w:szCs w:val="28"/>
        </w:rPr>
        <w:t>助给</w:t>
      </w:r>
      <w:r>
        <w:rPr>
          <w:rFonts w:ascii="仿宋" w:hAnsi="仿宋" w:eastAsia="仿宋" w:cs="Times New Roman"/>
          <w:sz w:val="28"/>
          <w:szCs w:val="28"/>
        </w:rPr>
        <w:t>浙江山山网络科技股份有限公司</w:t>
      </w:r>
      <w:r>
        <w:rPr>
          <w:rFonts w:hint="eastAsia" w:ascii="仿宋" w:hAnsi="仿宋" w:eastAsia="仿宋" w:cs="Times New Roman"/>
          <w:sz w:val="28"/>
          <w:szCs w:val="28"/>
        </w:rPr>
        <w:t>，基本达到年租金补助的最高标准（合同签订时间为2016年6月29日，首年补助期为2017年2月至2018年1月），</w:t>
      </w:r>
      <w:r>
        <w:rPr>
          <w:rFonts w:ascii="仿宋" w:hAnsi="仿宋" w:eastAsia="仿宋" w:cs="Times New Roman"/>
          <w:sz w:val="28"/>
          <w:szCs w:val="28"/>
        </w:rPr>
        <w:t>经</w:t>
      </w:r>
      <w:r>
        <w:rPr>
          <w:rFonts w:hint="eastAsia" w:ascii="仿宋" w:hAnsi="仿宋" w:eastAsia="仿宋" w:cs="Times New Roman"/>
          <w:sz w:val="28"/>
          <w:szCs w:val="28"/>
        </w:rPr>
        <w:t>评价人员</w:t>
      </w:r>
      <w:r>
        <w:rPr>
          <w:rFonts w:ascii="仿宋" w:hAnsi="仿宋" w:eastAsia="仿宋" w:cs="Times New Roman"/>
          <w:sz w:val="28"/>
          <w:szCs w:val="28"/>
        </w:rPr>
        <w:t>调查，2019年同是山山梦想城</w:t>
      </w:r>
      <w:r>
        <w:rPr>
          <w:rFonts w:hint="eastAsia" w:ascii="仿宋" w:hAnsi="仿宋" w:eastAsia="仿宋" w:cs="Times New Roman"/>
          <w:sz w:val="28"/>
          <w:szCs w:val="28"/>
        </w:rPr>
        <w:t>位置，丽水财源信息科技有限公司</w:t>
      </w:r>
      <w:r>
        <w:rPr>
          <w:rFonts w:ascii="仿宋" w:hAnsi="仿宋" w:eastAsia="仿宋" w:cs="Times New Roman"/>
          <w:sz w:val="28"/>
          <w:szCs w:val="28"/>
        </w:rPr>
        <w:t>租给其他住户的</w:t>
      </w:r>
      <w:r>
        <w:rPr>
          <w:rFonts w:hint="eastAsia" w:ascii="仿宋" w:hAnsi="仿宋" w:eastAsia="仿宋" w:cs="Times New Roman"/>
          <w:sz w:val="28"/>
          <w:szCs w:val="28"/>
        </w:rPr>
        <w:t>租金</w:t>
      </w:r>
      <w:r>
        <w:rPr>
          <w:rFonts w:ascii="仿宋" w:hAnsi="仿宋" w:eastAsia="仿宋" w:cs="Times New Roman"/>
          <w:sz w:val="28"/>
          <w:szCs w:val="28"/>
        </w:rPr>
        <w:t>价格为</w:t>
      </w:r>
      <w:r>
        <w:rPr>
          <w:rFonts w:hint="eastAsia" w:ascii="仿宋" w:hAnsi="仿宋" w:eastAsia="仿宋" w:cs="Times New Roman"/>
          <w:sz w:val="28"/>
          <w:szCs w:val="28"/>
        </w:rPr>
        <w:t>：</w:t>
      </w:r>
      <w:r>
        <w:rPr>
          <w:rFonts w:ascii="仿宋" w:hAnsi="仿宋" w:eastAsia="仿宋" w:cs="Times New Roman"/>
          <w:sz w:val="28"/>
          <w:szCs w:val="28"/>
        </w:rPr>
        <w:t>三楼38元每月每平方米，一楼为60元每月每平方米</w:t>
      </w:r>
      <w:r>
        <w:rPr>
          <w:rFonts w:hint="eastAsia" w:ascii="仿宋" w:hAnsi="仿宋" w:eastAsia="仿宋" w:cs="Times New Roman"/>
          <w:sz w:val="28"/>
          <w:szCs w:val="28"/>
        </w:rPr>
        <w:t>。</w:t>
      </w:r>
      <w:r>
        <w:rPr>
          <w:rFonts w:ascii="仿宋" w:hAnsi="仿宋" w:eastAsia="仿宋" w:cs="Times New Roman"/>
          <w:sz w:val="28"/>
          <w:szCs w:val="28"/>
        </w:rPr>
        <w:t>市商务局对</w:t>
      </w:r>
      <w:r>
        <w:rPr>
          <w:rFonts w:hint="eastAsia" w:ascii="仿宋" w:hAnsi="仿宋" w:eastAsia="仿宋" w:cs="Times New Roman"/>
          <w:sz w:val="28"/>
          <w:szCs w:val="28"/>
        </w:rPr>
        <w:t>上述房租未进行</w:t>
      </w:r>
      <w:r>
        <w:rPr>
          <w:rFonts w:ascii="仿宋" w:hAnsi="仿宋" w:eastAsia="仿宋" w:cs="Times New Roman"/>
          <w:sz w:val="28"/>
          <w:szCs w:val="28"/>
        </w:rPr>
        <w:t>关联交易</w:t>
      </w:r>
      <w:r>
        <w:rPr>
          <w:rFonts w:hint="eastAsia" w:ascii="仿宋" w:hAnsi="仿宋" w:eastAsia="仿宋" w:cs="Times New Roman"/>
          <w:sz w:val="28"/>
          <w:szCs w:val="28"/>
        </w:rPr>
        <w:t>核查，</w:t>
      </w:r>
      <w:r>
        <w:rPr>
          <w:rFonts w:ascii="仿宋" w:hAnsi="仿宋" w:eastAsia="仿宋" w:cs="Times New Roman"/>
          <w:sz w:val="28"/>
          <w:szCs w:val="28"/>
        </w:rPr>
        <w:t>未</w:t>
      </w:r>
      <w:r>
        <w:rPr>
          <w:rFonts w:hint="eastAsia" w:ascii="仿宋" w:hAnsi="仿宋" w:eastAsia="仿宋" w:cs="Times New Roman"/>
          <w:sz w:val="28"/>
          <w:szCs w:val="28"/>
        </w:rPr>
        <w:t>对关联方交易</w:t>
      </w:r>
      <w:r>
        <w:rPr>
          <w:rFonts w:ascii="仿宋" w:hAnsi="仿宋" w:eastAsia="仿宋" w:cs="Times New Roman"/>
          <w:sz w:val="28"/>
          <w:szCs w:val="28"/>
        </w:rPr>
        <w:t>采取必要的核实管理措施</w:t>
      </w:r>
      <w:r>
        <w:rPr>
          <w:rFonts w:hint="eastAsia" w:ascii="仿宋" w:hAnsi="仿宋" w:eastAsia="仿宋" w:cs="Times New Roman"/>
          <w:sz w:val="28"/>
          <w:szCs w:val="28"/>
        </w:rPr>
        <w:t>，影响了补助资金的使用绩效。</w:t>
      </w:r>
    </w:p>
    <w:p>
      <w:pPr>
        <w:spacing w:line="520" w:lineRule="exact"/>
        <w:ind w:firstLine="551" w:firstLineChars="196"/>
        <w:rPr>
          <w:rFonts w:ascii="仿宋" w:hAnsi="仿宋" w:eastAsia="仿宋" w:cs="Times New Roman"/>
          <w:color w:val="FF0000"/>
          <w:sz w:val="28"/>
          <w:szCs w:val="28"/>
        </w:rPr>
      </w:pPr>
      <w:r>
        <w:rPr>
          <w:rFonts w:hint="eastAsia" w:ascii="仿宋" w:hAnsi="仿宋" w:eastAsia="仿宋" w:cs="Times New Roman"/>
          <w:b/>
          <w:sz w:val="28"/>
          <w:szCs w:val="28"/>
        </w:rPr>
        <w:t>（3）政策覆盖面不够广，引导激励作用未能充分发挥</w:t>
      </w:r>
    </w:p>
    <w:p>
      <w:pPr>
        <w:spacing w:line="520" w:lineRule="exact"/>
        <w:ind w:firstLine="694" w:firstLineChars="248"/>
        <w:rPr>
          <w:rFonts w:hint="eastAsia" w:ascii="仿宋" w:hAnsi="仿宋" w:eastAsia="仿宋" w:cs="Times New Roman"/>
          <w:sz w:val="28"/>
          <w:szCs w:val="28"/>
        </w:rPr>
      </w:pPr>
      <w:r>
        <w:rPr>
          <w:rFonts w:hint="eastAsia" w:ascii="仿宋" w:hAnsi="仿宋" w:eastAsia="仿宋" w:cs="Times New Roman"/>
          <w:sz w:val="28"/>
          <w:szCs w:val="28"/>
        </w:rPr>
        <w:t>根据市商务局、市财政局、共青团丽水市委制定的专项资金管理办法，</w:t>
      </w:r>
      <w:r>
        <w:rPr>
          <w:rFonts w:ascii="仿宋" w:hAnsi="仿宋" w:eastAsia="仿宋" w:cs="Times New Roman"/>
          <w:sz w:val="28"/>
          <w:szCs w:val="28"/>
        </w:rPr>
        <w:t>专项资金的使用范围</w:t>
      </w:r>
      <w:r>
        <w:rPr>
          <w:rFonts w:hint="eastAsia" w:ascii="仿宋" w:hAnsi="仿宋" w:eastAsia="仿宋" w:cs="Times New Roman"/>
          <w:sz w:val="28"/>
          <w:szCs w:val="28"/>
        </w:rPr>
        <w:t>包括</w:t>
      </w:r>
      <w:r>
        <w:rPr>
          <w:rFonts w:ascii="仿宋" w:hAnsi="仿宋" w:eastAsia="仿宋" w:cs="Times New Roman"/>
          <w:sz w:val="28"/>
          <w:szCs w:val="28"/>
        </w:rPr>
        <w:t>：鼓励建设电子商务公共服务机</w:t>
      </w:r>
      <w:r>
        <w:rPr>
          <w:rFonts w:hint="eastAsia" w:ascii="仿宋" w:hAnsi="仿宋" w:eastAsia="仿宋" w:cs="Times New Roman"/>
          <w:sz w:val="28"/>
          <w:szCs w:val="28"/>
        </w:rPr>
        <w:t>构，</w:t>
      </w:r>
      <w:r>
        <w:rPr>
          <w:rFonts w:ascii="仿宋" w:hAnsi="仿宋" w:eastAsia="仿宋" w:cs="Times New Roman"/>
          <w:sz w:val="28"/>
          <w:szCs w:val="28"/>
        </w:rPr>
        <w:t>支持建设电子商务线上公共服务平台</w:t>
      </w:r>
      <w:r>
        <w:rPr>
          <w:rFonts w:hint="eastAsia" w:ascii="仿宋" w:hAnsi="仿宋" w:eastAsia="仿宋" w:cs="Times New Roman"/>
          <w:sz w:val="28"/>
          <w:szCs w:val="28"/>
        </w:rPr>
        <w:t>，</w:t>
      </w:r>
      <w:r>
        <w:rPr>
          <w:rFonts w:ascii="仿宋" w:hAnsi="仿宋" w:eastAsia="仿宋" w:cs="Times New Roman"/>
          <w:sz w:val="28"/>
          <w:szCs w:val="28"/>
        </w:rPr>
        <w:t>支持建设电子商务集聚园区</w:t>
      </w:r>
      <w:r>
        <w:rPr>
          <w:rFonts w:hint="eastAsia" w:ascii="仿宋" w:hAnsi="仿宋" w:eastAsia="仿宋" w:cs="Times New Roman"/>
          <w:sz w:val="28"/>
          <w:szCs w:val="28"/>
        </w:rPr>
        <w:t>，支持</w:t>
      </w:r>
      <w:r>
        <w:rPr>
          <w:rFonts w:ascii="仿宋" w:hAnsi="仿宋" w:eastAsia="仿宋" w:cs="Times New Roman"/>
          <w:sz w:val="28"/>
          <w:szCs w:val="28"/>
        </w:rPr>
        <w:t>建设跨境电子商务园区</w:t>
      </w:r>
      <w:r>
        <w:rPr>
          <w:rFonts w:hint="eastAsia" w:ascii="仿宋" w:hAnsi="仿宋" w:eastAsia="仿宋" w:cs="Times New Roman"/>
          <w:sz w:val="28"/>
          <w:szCs w:val="28"/>
        </w:rPr>
        <w:t>，</w:t>
      </w:r>
      <w:r>
        <w:rPr>
          <w:rFonts w:ascii="仿宋" w:hAnsi="仿宋" w:eastAsia="仿宋" w:cs="Times New Roman"/>
          <w:sz w:val="28"/>
          <w:szCs w:val="28"/>
        </w:rPr>
        <w:t>支持建设科学合理的公共仓储配送体系</w:t>
      </w:r>
      <w:r>
        <w:rPr>
          <w:rFonts w:hint="eastAsia" w:ascii="仿宋" w:hAnsi="仿宋" w:eastAsia="仿宋" w:cs="Times New Roman"/>
          <w:sz w:val="28"/>
          <w:szCs w:val="28"/>
        </w:rPr>
        <w:t>，</w:t>
      </w:r>
      <w:r>
        <w:rPr>
          <w:rFonts w:ascii="仿宋" w:hAnsi="仿宋" w:eastAsia="仿宋" w:cs="Times New Roman"/>
          <w:sz w:val="28"/>
          <w:szCs w:val="28"/>
        </w:rPr>
        <w:t>支持建设农村电子商务服务站</w:t>
      </w:r>
      <w:r>
        <w:rPr>
          <w:rFonts w:hint="eastAsia" w:ascii="仿宋" w:hAnsi="仿宋" w:eastAsia="仿宋" w:cs="Times New Roman"/>
          <w:sz w:val="28"/>
          <w:szCs w:val="28"/>
        </w:rPr>
        <w:t>，</w:t>
      </w:r>
      <w:r>
        <w:rPr>
          <w:rFonts w:ascii="仿宋" w:hAnsi="仿宋" w:eastAsia="仿宋" w:cs="Times New Roman"/>
          <w:sz w:val="28"/>
          <w:szCs w:val="28"/>
        </w:rPr>
        <w:t>支持建设社区电子商务服务站</w:t>
      </w:r>
      <w:r>
        <w:rPr>
          <w:rFonts w:hint="eastAsia" w:ascii="仿宋" w:hAnsi="仿宋" w:eastAsia="仿宋" w:cs="Times New Roman"/>
          <w:sz w:val="28"/>
          <w:szCs w:val="28"/>
        </w:rPr>
        <w:t>等。从2016-2018年电子商务发展专项资金实际支出结构看，总额2,528.77万元资金中，各类电子商务活动经费687.67万元，占实际支出27.19%;电子商务培训资金</w:t>
      </w:r>
      <w:r>
        <w:rPr>
          <w:rFonts w:ascii="仿宋" w:hAnsi="仿宋" w:eastAsia="仿宋" w:cs="Times New Roman"/>
          <w:sz w:val="28"/>
          <w:szCs w:val="28"/>
        </w:rPr>
        <w:t>27</w:t>
      </w:r>
      <w:r>
        <w:rPr>
          <w:rFonts w:hint="eastAsia" w:ascii="仿宋" w:hAnsi="仿宋" w:eastAsia="仿宋" w:cs="Times New Roman"/>
          <w:sz w:val="28"/>
          <w:szCs w:val="28"/>
        </w:rPr>
        <w:t>9.51</w:t>
      </w:r>
      <w:r>
        <w:rPr>
          <w:rFonts w:ascii="仿宋" w:hAnsi="仿宋" w:eastAsia="仿宋" w:cs="Times New Roman"/>
          <w:sz w:val="28"/>
          <w:szCs w:val="28"/>
        </w:rPr>
        <w:t>万元</w:t>
      </w:r>
      <w:r>
        <w:rPr>
          <w:rFonts w:hint="eastAsia" w:ascii="仿宋" w:hAnsi="仿宋" w:eastAsia="仿宋" w:cs="Times New Roman"/>
          <w:sz w:val="28"/>
          <w:szCs w:val="28"/>
        </w:rPr>
        <w:t>，占实际支出11.05%;广告推广资金245万元，占实际支出9.69%;奖励资金180.80万元,占实际支出7.91%在资金分布上，电商活动和电商培训方面资金占比较大，</w:t>
      </w:r>
      <w:r>
        <w:rPr>
          <w:rFonts w:ascii="仿宋" w:hAnsi="仿宋" w:eastAsia="仿宋" w:cs="Times New Roman"/>
          <w:sz w:val="28"/>
          <w:szCs w:val="28"/>
        </w:rPr>
        <w:t>其他</w:t>
      </w:r>
      <w:r>
        <w:rPr>
          <w:rFonts w:hint="eastAsia" w:ascii="仿宋" w:hAnsi="仿宋" w:eastAsia="仿宋" w:cs="Times New Roman"/>
          <w:sz w:val="28"/>
          <w:szCs w:val="28"/>
        </w:rPr>
        <w:t>有些项目未分配资金，政策覆盖面不广，引导激励作用未能充分发挥。如广告推广资金过多，且效果不够明显（如阿里巴巴</w:t>
      </w:r>
      <w:r>
        <w:rPr>
          <w:rFonts w:ascii="仿宋" w:hAnsi="仿宋" w:eastAsia="仿宋" w:cs="Times New Roman"/>
          <w:sz w:val="28"/>
          <w:szCs w:val="28"/>
        </w:rPr>
        <w:t>.丽水产业带广告推广项目</w:t>
      </w:r>
      <w:r>
        <w:rPr>
          <w:rFonts w:hint="eastAsia" w:ascii="仿宋" w:hAnsi="仿宋" w:eastAsia="仿宋" w:cs="Times New Roman"/>
          <w:sz w:val="28"/>
          <w:szCs w:val="28"/>
        </w:rPr>
        <w:t>中途中止）。</w:t>
      </w:r>
    </w:p>
    <w:p>
      <w:pPr>
        <w:numPr>
          <w:ilvl w:val="0"/>
          <w:numId w:val="3"/>
        </w:numPr>
        <w:tabs>
          <w:tab w:val="left" w:pos="1134"/>
        </w:tabs>
        <w:spacing w:line="520" w:lineRule="exact"/>
        <w:ind w:hanging="2988"/>
        <w:rPr>
          <w:rFonts w:hint="eastAsia" w:ascii="仿宋" w:hAnsi="仿宋" w:eastAsia="仿宋" w:cs="Times New Roman"/>
          <w:b/>
          <w:sz w:val="28"/>
          <w:szCs w:val="28"/>
        </w:rPr>
      </w:pPr>
      <w:r>
        <w:rPr>
          <w:rFonts w:hint="eastAsia" w:ascii="仿宋" w:hAnsi="仿宋" w:eastAsia="仿宋" w:cs="Times New Roman"/>
          <w:b/>
          <w:sz w:val="28"/>
          <w:szCs w:val="28"/>
        </w:rPr>
        <w:t>电商培训项目管理不到位，培训学员资格未能严格把关。</w:t>
      </w:r>
    </w:p>
    <w:p>
      <w:pPr>
        <w:spacing w:line="520" w:lineRule="exact"/>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如2018京东高级运营培训班，文件规定培训对象为丽水市所有从事天猫/淘宝的企业主/卖家，但从获取的学员信息看，近一半的学员资料上显示无店铺名称、无从事行业、无网店网址，与招生文件规定的对象不相符，市商务局对培训项目的管理不够到位，培训效果难以保证。</w:t>
      </w:r>
    </w:p>
    <w:p>
      <w:pPr>
        <w:spacing w:line="520" w:lineRule="exact"/>
        <w:ind w:firstLine="562" w:firstLineChars="200"/>
        <w:rPr>
          <w:rFonts w:hint="eastAsia" w:ascii="仿宋" w:hAnsi="仿宋" w:eastAsia="仿宋" w:cs="Times New Roman"/>
          <w:b/>
          <w:sz w:val="28"/>
          <w:szCs w:val="28"/>
        </w:rPr>
      </w:pPr>
      <w:r>
        <w:rPr>
          <w:rFonts w:hint="eastAsia" w:ascii="仿宋" w:hAnsi="仿宋" w:eastAsia="仿宋" w:cs="Times New Roman"/>
          <w:b/>
          <w:sz w:val="28"/>
          <w:szCs w:val="28"/>
        </w:rPr>
        <w:t>3、部分政策内容条款导向不够明显</w:t>
      </w:r>
    </w:p>
    <w:p>
      <w:pPr>
        <w:spacing w:line="520" w:lineRule="exact"/>
        <w:ind w:firstLine="560" w:firstLineChars="200"/>
        <w:rPr>
          <w:rFonts w:ascii="仿宋" w:hAnsi="仿宋" w:eastAsia="仿宋" w:cs="Times New Roman"/>
          <w:b/>
          <w:sz w:val="28"/>
          <w:szCs w:val="28"/>
        </w:rPr>
      </w:pPr>
      <w:r>
        <w:rPr>
          <w:rFonts w:hint="eastAsia" w:ascii="仿宋" w:hAnsi="仿宋" w:eastAsia="仿宋" w:cs="Times New Roman"/>
          <w:sz w:val="28"/>
          <w:szCs w:val="28"/>
        </w:rPr>
        <w:t>《实施意见》中“完善仓储物流配送体系。支持通过搭建标准厂房、利用闲置厂房、闲置校区等建设公共仓储配送中心，开发与各大网销平台无缝对接的仓储配送软件系统，建设科学合理的仓储配送体系，为广大中小网商提供专业化、集约化、智能化、便利化的仓储配送服务。给予年服务10家企业以上、日均发货8000单的公共仓储配送中心运营单位连续三年每年奖励10万元。”《实施意见》虽对电子商务“仓储物流配送”有明确的政策导向，由于政策促进力度不够，未能吸引知名快递物流企业入驻丽水，“仓储物流”仍是影响市电商企业发展的较大问题。</w:t>
      </w:r>
    </w:p>
    <w:p>
      <w:pPr>
        <w:spacing w:line="520" w:lineRule="exact"/>
        <w:ind w:firstLine="551" w:firstLineChars="196"/>
        <w:rPr>
          <w:rFonts w:ascii="仿宋" w:hAnsi="仿宋" w:eastAsia="仿宋" w:cs="Times New Roman"/>
          <w:b/>
          <w:bCs/>
          <w:sz w:val="28"/>
          <w:szCs w:val="28"/>
        </w:rPr>
      </w:pPr>
      <w:r>
        <w:rPr>
          <w:rFonts w:hint="eastAsia" w:ascii="仿宋" w:hAnsi="仿宋" w:eastAsia="仿宋" w:cs="Times New Roman"/>
          <w:b/>
          <w:bCs/>
          <w:sz w:val="28"/>
          <w:szCs w:val="28"/>
        </w:rPr>
        <w:t>（七）相关建议</w:t>
      </w:r>
    </w:p>
    <w:p>
      <w:pPr>
        <w:spacing w:line="520" w:lineRule="exact"/>
        <w:ind w:firstLine="700" w:firstLineChars="249"/>
        <w:rPr>
          <w:rFonts w:ascii="仿宋" w:hAnsi="仿宋" w:eastAsia="仿宋" w:cs="Times New Roman"/>
          <w:b/>
          <w:sz w:val="28"/>
          <w:szCs w:val="28"/>
        </w:rPr>
      </w:pPr>
      <w:r>
        <w:rPr>
          <w:rFonts w:hint="eastAsia" w:ascii="仿宋" w:hAnsi="仿宋" w:eastAsia="仿宋" w:cs="Times New Roman"/>
          <w:b/>
          <w:sz w:val="28"/>
          <w:szCs w:val="28"/>
        </w:rPr>
        <w:t>1、加强项目预算绩效管理</w:t>
      </w:r>
    </w:p>
    <w:p>
      <w:pPr>
        <w:adjustRightInd w:val="0"/>
        <w:snapToGrid w:val="0"/>
        <w:spacing w:line="520" w:lineRule="exact"/>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主管部门应认真贯彻落实《中共丽水市委 丽水市人民政府关于全面实施预算绩效管理的若干意见》（丽委发﹝</w:t>
      </w:r>
      <w:r>
        <w:rPr>
          <w:rFonts w:ascii="仿宋" w:hAnsi="仿宋" w:eastAsia="仿宋" w:cs="Times New Roman"/>
          <w:sz w:val="28"/>
          <w:szCs w:val="28"/>
        </w:rPr>
        <w:t>2019﹞24号）</w:t>
      </w:r>
      <w:r>
        <w:rPr>
          <w:rFonts w:hint="eastAsia" w:ascii="仿宋" w:hAnsi="仿宋" w:eastAsia="仿宋" w:cs="Times New Roman"/>
          <w:sz w:val="28"/>
          <w:szCs w:val="28"/>
        </w:rPr>
        <w:t>和《关于促进丽水市电子商务发展的实施意见》（丽委发</w:t>
      </w:r>
      <w:r>
        <w:rPr>
          <w:rFonts w:ascii="仿宋" w:hAnsi="仿宋" w:eastAsia="仿宋" w:cs="Times New Roman"/>
          <w:sz w:val="28"/>
          <w:szCs w:val="28"/>
        </w:rPr>
        <w:t>〔2015〕23号）</w:t>
      </w:r>
      <w:r>
        <w:rPr>
          <w:rFonts w:hint="eastAsia" w:ascii="仿宋" w:hAnsi="仿宋" w:eastAsia="仿宋" w:cs="Times New Roman"/>
          <w:sz w:val="28"/>
          <w:szCs w:val="28"/>
        </w:rPr>
        <w:t>，加强对电子商务扶持政策及财政专项资金的绩效管理。对每年预算安排的专项资金</w:t>
      </w:r>
      <w:r>
        <w:rPr>
          <w:rFonts w:ascii="仿宋" w:hAnsi="仿宋" w:eastAsia="仿宋" w:cs="Times New Roman"/>
          <w:sz w:val="28"/>
          <w:szCs w:val="28"/>
        </w:rPr>
        <w:t>，</w:t>
      </w:r>
      <w:r>
        <w:rPr>
          <w:rFonts w:hint="eastAsia" w:ascii="仿宋" w:hAnsi="仿宋" w:eastAsia="仿宋" w:cs="Times New Roman"/>
          <w:sz w:val="28"/>
          <w:szCs w:val="28"/>
        </w:rPr>
        <w:t>应结合产业发展实际，</w:t>
      </w:r>
      <w:r>
        <w:rPr>
          <w:rFonts w:ascii="仿宋" w:hAnsi="仿宋" w:eastAsia="仿宋" w:cs="Times New Roman"/>
          <w:sz w:val="28"/>
          <w:szCs w:val="28"/>
        </w:rPr>
        <w:t>科学合理地编制预算绩效目标。</w:t>
      </w:r>
      <w:r>
        <w:rPr>
          <w:rFonts w:hint="eastAsia" w:ascii="仿宋" w:hAnsi="仿宋" w:eastAsia="仿宋" w:cs="Times New Roman"/>
          <w:sz w:val="28"/>
          <w:szCs w:val="28"/>
        </w:rPr>
        <w:t>通过绩效目标的编制，明确年度工作重点和项目实施计划，增强项目实施的计划性和系统性。要实行扶持政策全生命周期管理，加强项目实施的跟踪监控和绩效自评，确保政策发挥应有的绩效。</w:t>
      </w:r>
    </w:p>
    <w:p>
      <w:pPr>
        <w:adjustRightInd w:val="0"/>
        <w:snapToGrid w:val="0"/>
        <w:spacing w:line="52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2、加强项目资金和过程的规范管理</w:t>
      </w:r>
    </w:p>
    <w:p>
      <w:pPr>
        <w:adjustRightInd w:val="0"/>
        <w:snapToGrid w:val="0"/>
        <w:spacing w:line="52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市商务局应严格执行各项管理制度，规范专项资金的管理，落实专项资金监督检查工作。要规范合同管理，加强合同履行的审核，严格执行合同规定，并对项目实施单位建立考核约束机制。要加强项目资金支付的审核管理，建立项目资金的全过程控制机制，定期或者不定期组织开展相关的检查或者抽查。加强项目财务管理，严把财务审核关，严格按照《丽水市促进电子商务发展资金管理使用办法》（丽财行〔</w:t>
      </w:r>
      <w:r>
        <w:rPr>
          <w:rFonts w:ascii="仿宋" w:hAnsi="仿宋" w:eastAsia="仿宋" w:cs="Times New Roman"/>
          <w:sz w:val="28"/>
          <w:szCs w:val="28"/>
        </w:rPr>
        <w:t>2016〕187号）</w:t>
      </w:r>
      <w:r>
        <w:rPr>
          <w:rFonts w:hint="eastAsia" w:ascii="仿宋" w:hAnsi="仿宋" w:eastAsia="仿宋" w:cs="Times New Roman"/>
          <w:sz w:val="28"/>
          <w:szCs w:val="28"/>
        </w:rPr>
        <w:t>规定用途拨付电子商务专项支出，确保资金安全和项目绩效。同时，</w:t>
      </w:r>
      <w:r>
        <w:rPr>
          <w:rFonts w:ascii="仿宋" w:hAnsi="仿宋" w:eastAsia="仿宋" w:cs="Times New Roman"/>
          <w:sz w:val="28"/>
          <w:szCs w:val="28"/>
        </w:rPr>
        <w:t>对关联</w:t>
      </w:r>
      <w:r>
        <w:rPr>
          <w:rFonts w:hint="eastAsia" w:ascii="仿宋" w:hAnsi="仿宋" w:eastAsia="仿宋" w:cs="Times New Roman"/>
          <w:sz w:val="28"/>
          <w:szCs w:val="28"/>
        </w:rPr>
        <w:t>方</w:t>
      </w:r>
      <w:r>
        <w:rPr>
          <w:rFonts w:ascii="仿宋" w:hAnsi="仿宋" w:eastAsia="仿宋" w:cs="Times New Roman"/>
          <w:sz w:val="28"/>
          <w:szCs w:val="28"/>
        </w:rPr>
        <w:t>交易</w:t>
      </w:r>
      <w:r>
        <w:rPr>
          <w:rFonts w:hint="eastAsia" w:ascii="仿宋" w:hAnsi="仿宋" w:eastAsia="仿宋" w:cs="Times New Roman"/>
          <w:sz w:val="28"/>
          <w:szCs w:val="28"/>
        </w:rPr>
        <w:t>建立严格的核查制度，对补助资金支出应</w:t>
      </w:r>
      <w:r>
        <w:rPr>
          <w:rFonts w:ascii="仿宋" w:hAnsi="仿宋" w:eastAsia="仿宋" w:cs="Times New Roman"/>
          <w:sz w:val="28"/>
          <w:szCs w:val="28"/>
        </w:rPr>
        <w:t>采取必要的核实管理措施</w:t>
      </w:r>
      <w:r>
        <w:rPr>
          <w:rFonts w:hint="eastAsia" w:ascii="仿宋" w:hAnsi="仿宋" w:eastAsia="仿宋" w:cs="Times New Roman"/>
          <w:sz w:val="28"/>
          <w:szCs w:val="28"/>
        </w:rPr>
        <w:t>。对电子商务培训项目，严格以市场需求及政府发展电子商务目标为导向，对培训对象明确规定招生条件，并对培训过程、培训就业等情况进行跟踪管理。</w:t>
      </w:r>
    </w:p>
    <w:p>
      <w:pPr>
        <w:adjustRightInd w:val="0"/>
        <w:snapToGrid w:val="0"/>
        <w:spacing w:line="520" w:lineRule="exact"/>
        <w:ind w:firstLine="551" w:firstLineChars="196"/>
        <w:rPr>
          <w:rFonts w:hint="eastAsia" w:ascii="仿宋" w:hAnsi="仿宋" w:eastAsia="仿宋" w:cs="Times New Roman"/>
          <w:b/>
          <w:sz w:val="28"/>
          <w:szCs w:val="28"/>
        </w:rPr>
      </w:pPr>
      <w:r>
        <w:rPr>
          <w:rFonts w:hint="eastAsia" w:ascii="仿宋" w:hAnsi="仿宋" w:eastAsia="仿宋" w:cs="Times New Roman"/>
          <w:b/>
          <w:sz w:val="28"/>
          <w:szCs w:val="28"/>
        </w:rPr>
        <w:t>3、适时调整扶持政策补助范围和重点</w:t>
      </w:r>
    </w:p>
    <w:p>
      <w:pPr>
        <w:widowControl/>
        <w:shd w:val="clear" w:color="auto" w:fill="FFFFFF"/>
        <w:spacing w:line="520" w:lineRule="exact"/>
        <w:ind w:firstLine="560" w:firstLineChars="200"/>
        <w:jc w:val="left"/>
        <w:rPr>
          <w:rFonts w:hint="eastAsia" w:ascii="仿宋" w:hAnsi="仿宋" w:eastAsia="仿宋" w:cs="Times New Roman"/>
          <w:sz w:val="28"/>
          <w:szCs w:val="28"/>
        </w:rPr>
      </w:pPr>
      <w:r>
        <w:rPr>
          <w:rFonts w:hint="eastAsia" w:ascii="仿宋" w:hAnsi="仿宋" w:eastAsia="仿宋" w:cs="Times New Roman"/>
          <w:sz w:val="28"/>
          <w:szCs w:val="28"/>
        </w:rPr>
        <w:t>市商务局应针对丽水电子商务发展形势的变化，适时调整政策补助范围和重点。结合当前实际，政策补助重点可从引进和培育电子商务市场主体、完善电子商务支撑体系、积极鼓励电商企业融入</w:t>
      </w:r>
      <w:r>
        <w:rPr>
          <w:rFonts w:ascii="仿宋" w:hAnsi="仿宋" w:eastAsia="仿宋" w:cs="Times New Roman"/>
          <w:sz w:val="28"/>
          <w:szCs w:val="28"/>
        </w:rPr>
        <w:t>长三角一体化发展</w:t>
      </w:r>
      <w:r>
        <w:rPr>
          <w:rFonts w:hint="eastAsia" w:ascii="仿宋" w:hAnsi="仿宋" w:eastAsia="仿宋" w:cs="Times New Roman"/>
          <w:sz w:val="28"/>
          <w:szCs w:val="28"/>
        </w:rPr>
        <w:t>、积极利用电子商务开拓国内外市场、鼓励助农销售及东西部对口合作支援帮扶、培养电子商务人才、加大电子商务宣传力度、实施电子商务示范带动工程、完善电子商务统计监测监管制度等方面作着重考虑。鉴于丽水市电子商务发展已处于平稳阶段，为进一步促进市电子商务健康发展，建议在新一轮政策制定中增加以下内容：一是鼓励引进国内外知名电商企业及重大项目，采用实行“一企一策”、“一事一议”政策。二是鼓励本地电商企业和平台做大做强，给予专项资金奖励。三是鼓励推进电子商务与快递物流协同发展，给予专项资金奖励。</w:t>
      </w:r>
    </w:p>
    <w:p>
      <w:pPr>
        <w:adjustRightInd w:val="0"/>
        <w:snapToGrid w:val="0"/>
        <w:rPr>
          <w:rFonts w:ascii="仿宋" w:hAnsi="仿宋" w:eastAsia="仿宋" w:cs="Times New Roman"/>
          <w:sz w:val="28"/>
          <w:szCs w:val="28"/>
        </w:rPr>
      </w:pPr>
    </w:p>
    <w:p>
      <w:pPr>
        <w:jc w:val="left"/>
        <w:rPr>
          <w:rFonts w:hint="eastAsia" w:asciiTheme="minorEastAsia" w:hAnsiTheme="minorEastAsia"/>
          <w:b/>
          <w:sz w:val="44"/>
          <w:szCs w:val="44"/>
        </w:rPr>
      </w:pPr>
    </w:p>
    <w:p>
      <w:pPr>
        <w:jc w:val="left"/>
        <w:rPr>
          <w:rFonts w:hint="eastAsia" w:asciiTheme="minorEastAsia" w:hAnsiTheme="minorEastAsia"/>
          <w:b/>
          <w:sz w:val="44"/>
          <w:szCs w:val="44"/>
        </w:rPr>
      </w:pPr>
    </w:p>
    <w:p>
      <w:pPr>
        <w:jc w:val="left"/>
        <w:rPr>
          <w:rFonts w:hint="eastAsia" w:asciiTheme="minorEastAsia" w:hAnsiTheme="minorEastAsia"/>
          <w:b/>
          <w:sz w:val="44"/>
          <w:szCs w:val="44"/>
        </w:rPr>
      </w:pPr>
    </w:p>
    <w:p>
      <w:pPr>
        <w:jc w:val="left"/>
        <w:rPr>
          <w:rFonts w:hint="eastAsia" w:asciiTheme="minorEastAsia" w:hAnsiTheme="minorEastAsia"/>
          <w:b/>
          <w:sz w:val="44"/>
          <w:szCs w:val="44"/>
        </w:rPr>
      </w:pP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浙江中企华会计师事务所有限公司</w:t>
      </w:r>
      <w:r>
        <w:rPr>
          <w:rFonts w:hint="eastAsia" w:ascii="仿宋_GB2312" w:eastAsia="仿宋_GB2312" w:cs="仿宋_GB2312"/>
          <w:kern w:val="0"/>
          <w:sz w:val="28"/>
          <w:szCs w:val="28"/>
        </w:rPr>
        <w:t>）</w:t>
      </w:r>
    </w:p>
    <w:p>
      <w:pPr>
        <w:spacing w:line="480" w:lineRule="auto"/>
        <w:jc w:val="left"/>
        <w:rPr>
          <w:rFonts w:hint="eastAsia" w:ascii="仿宋_GB2312" w:hAnsi="新宋体" w:eastAsia="仿宋_GB2312" w:cs="新宋体"/>
          <w:color w:val="000000"/>
          <w:kern w:val="0"/>
          <w:sz w:val="32"/>
          <w:szCs w:val="32"/>
        </w:rPr>
      </w:pPr>
    </w:p>
    <w:p>
      <w:pPr>
        <w:spacing w:line="480" w:lineRule="auto"/>
        <w:jc w:val="left"/>
        <w:rPr>
          <w:rFonts w:hint="eastAsia" w:ascii="仿宋_GB2312" w:hAnsi="新宋体" w:eastAsia="仿宋_GB2312" w:cs="新宋体"/>
          <w:color w:val="000000"/>
          <w:kern w:val="0"/>
          <w:sz w:val="32"/>
          <w:szCs w:val="32"/>
        </w:rPr>
      </w:pPr>
    </w:p>
    <w:p>
      <w:pPr>
        <w:spacing w:line="480" w:lineRule="auto"/>
        <w:jc w:val="left"/>
        <w:rPr>
          <w:rFonts w:hint="eastAsia" w:ascii="仿宋_GB2312" w:hAnsi="新宋体" w:eastAsia="仿宋_GB2312" w:cs="新宋体"/>
          <w:color w:val="000000"/>
          <w:kern w:val="0"/>
          <w:sz w:val="32"/>
          <w:szCs w:val="32"/>
        </w:rPr>
      </w:pPr>
    </w:p>
    <w:p>
      <w:pPr>
        <w:spacing w:line="480" w:lineRule="auto"/>
        <w:jc w:val="left"/>
        <w:rPr>
          <w:rFonts w:hint="eastAsia" w:ascii="仿宋_GB2312" w:hAnsi="新宋体" w:eastAsia="仿宋_GB2312" w:cs="新宋体"/>
          <w:color w:val="000000"/>
          <w:kern w:val="0"/>
          <w:sz w:val="32"/>
          <w:szCs w:val="32"/>
        </w:rPr>
      </w:pPr>
    </w:p>
    <w:p>
      <w:pPr>
        <w:spacing w:line="480" w:lineRule="auto"/>
        <w:jc w:val="left"/>
        <w:rPr>
          <w:rFonts w:hint="eastAsia" w:ascii="仿宋_GB2312" w:hAnsi="新宋体" w:eastAsia="仿宋_GB2312" w:cs="新宋体"/>
          <w:color w:val="000000"/>
          <w:kern w:val="0"/>
          <w:sz w:val="32"/>
          <w:szCs w:val="32"/>
        </w:rPr>
      </w:pPr>
    </w:p>
    <w:p>
      <w:pPr>
        <w:spacing w:line="480" w:lineRule="auto"/>
        <w:jc w:val="left"/>
        <w:rPr>
          <w:rFonts w:ascii="仿宋_GB2312" w:hAnsi="新宋体" w:eastAsia="仿宋_GB2312" w:cs="新宋体"/>
          <w:color w:val="000000"/>
          <w:kern w:val="0"/>
          <w:sz w:val="32"/>
          <w:szCs w:val="32"/>
        </w:rPr>
      </w:pPr>
    </w:p>
    <w:p>
      <w:pPr>
        <w:spacing w:line="480" w:lineRule="auto"/>
        <w:ind w:firstLine="522" w:firstLineChars="100"/>
        <w:jc w:val="center"/>
        <w:rPr>
          <w:rFonts w:hint="eastAsia" w:ascii="黑体" w:hAnsi="黑体" w:eastAsia="黑体"/>
          <w:b/>
          <w:bCs/>
          <w:sz w:val="52"/>
          <w:szCs w:val="52"/>
        </w:rPr>
      </w:pPr>
      <w:r>
        <w:rPr>
          <w:rFonts w:hint="eastAsia" w:ascii="黑体" w:hAnsi="黑体" w:eastAsia="黑体"/>
          <w:b/>
          <w:bCs/>
          <w:sz w:val="52"/>
          <w:szCs w:val="52"/>
        </w:rPr>
        <w:t>生态精品现代农业发展专项</w:t>
      </w:r>
    </w:p>
    <w:p>
      <w:pPr>
        <w:spacing w:line="480" w:lineRule="auto"/>
        <w:ind w:firstLine="522" w:firstLineChars="100"/>
        <w:jc w:val="center"/>
        <w:rPr>
          <w:rFonts w:hint="eastAsia" w:ascii="黑体" w:hAnsi="黑体" w:eastAsia="黑体"/>
          <w:sz w:val="72"/>
          <w:szCs w:val="72"/>
        </w:rPr>
      </w:pPr>
      <w:r>
        <w:rPr>
          <w:rFonts w:hint="eastAsia" w:ascii="黑体" w:hAnsi="黑体" w:eastAsia="黑体"/>
          <w:b/>
          <w:bCs/>
          <w:sz w:val="52"/>
          <w:szCs w:val="52"/>
        </w:rPr>
        <w:t>（九大产业补助政策）</w:t>
      </w:r>
    </w:p>
    <w:p>
      <w:pPr>
        <w:spacing w:line="480" w:lineRule="auto"/>
        <w:jc w:val="center"/>
        <w:rPr>
          <w:rFonts w:hint="eastAsia" w:ascii="仿宋_GB2312" w:hAnsi="宋体" w:eastAsia="仿宋_GB2312" w:cs="Times New Roman"/>
          <w:sz w:val="52"/>
          <w:szCs w:val="52"/>
        </w:rPr>
      </w:pPr>
      <w:r>
        <w:rPr>
          <w:rFonts w:hint="eastAsia" w:ascii="黑体" w:hAnsi="黑体" w:eastAsia="黑体" w:cs="新宋体"/>
          <w:b/>
          <w:bCs/>
          <w:sz w:val="52"/>
          <w:szCs w:val="52"/>
        </w:rPr>
        <w:t>（2016-2018年）</w:t>
      </w:r>
    </w:p>
    <w:p>
      <w:pPr>
        <w:spacing w:line="480" w:lineRule="auto"/>
        <w:ind w:firstLine="360" w:firstLineChars="100"/>
        <w:jc w:val="left"/>
        <w:rPr>
          <w:rFonts w:hint="eastAsia" w:ascii="仿宋_GB2312" w:hAnsi="宋体" w:eastAsia="仿宋_GB2312" w:cs="Times New Roman"/>
          <w:sz w:val="36"/>
          <w:szCs w:val="36"/>
        </w:rPr>
      </w:pP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绩</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效</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评</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价</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报</w:t>
      </w:r>
    </w:p>
    <w:p>
      <w:pPr>
        <w:spacing w:line="480" w:lineRule="auto"/>
        <w:jc w:val="center"/>
        <w:rPr>
          <w:rFonts w:hint="eastAsia" w:ascii="仿宋_GB2312" w:hAnsi="宋体" w:eastAsia="仿宋_GB2312" w:cs="Times New Roman"/>
          <w:sz w:val="36"/>
          <w:szCs w:val="36"/>
        </w:rPr>
      </w:pPr>
      <w:r>
        <w:rPr>
          <w:rFonts w:hint="eastAsia" w:ascii="宋体" w:eastAsia="宋体" w:cs="宋体"/>
          <w:b/>
          <w:kern w:val="0"/>
          <w:sz w:val="84"/>
          <w:szCs w:val="84"/>
        </w:rPr>
        <w:t>告</w:t>
      </w:r>
    </w:p>
    <w:p>
      <w:pPr>
        <w:spacing w:line="480" w:lineRule="auto"/>
        <w:ind w:firstLine="360" w:firstLineChars="100"/>
        <w:jc w:val="left"/>
        <w:rPr>
          <w:rFonts w:hint="eastAsia" w:ascii="仿宋_GB2312" w:hAnsi="宋体" w:eastAsia="仿宋_GB2312" w:cs="Times New Roman"/>
          <w:sz w:val="36"/>
          <w:szCs w:val="36"/>
        </w:rPr>
      </w:pPr>
    </w:p>
    <w:p>
      <w:pPr>
        <w:spacing w:line="480" w:lineRule="auto"/>
        <w:ind w:firstLine="360" w:firstLineChars="100"/>
        <w:jc w:val="left"/>
        <w:rPr>
          <w:rFonts w:hint="eastAsia" w:ascii="仿宋_GB2312" w:hAnsi="宋体" w:eastAsia="仿宋_GB2312" w:cs="Times New Roman"/>
          <w:sz w:val="36"/>
          <w:szCs w:val="36"/>
        </w:rPr>
      </w:pPr>
    </w:p>
    <w:p>
      <w:pPr>
        <w:jc w:val="left"/>
        <w:rPr>
          <w:rFonts w:hint="eastAsia" w:asciiTheme="minorEastAsia" w:hAnsiTheme="minorEastAsia"/>
          <w:b/>
          <w:sz w:val="44"/>
          <w:szCs w:val="44"/>
        </w:rPr>
      </w:pPr>
    </w:p>
    <w:p>
      <w:pPr>
        <w:jc w:val="center"/>
        <w:rPr>
          <w:rFonts w:asciiTheme="minorEastAsia" w:hAnsiTheme="minorEastAsia"/>
          <w:b/>
          <w:sz w:val="44"/>
          <w:szCs w:val="44"/>
        </w:rPr>
      </w:pPr>
      <w:r>
        <w:rPr>
          <w:rFonts w:hint="eastAsia" w:asciiTheme="minorEastAsia" w:hAnsiTheme="minorEastAsia"/>
          <w:b/>
          <w:sz w:val="44"/>
          <w:szCs w:val="44"/>
        </w:rPr>
        <w:t>2016-2018年生态精品现代农业发展专项</w:t>
      </w:r>
    </w:p>
    <w:p>
      <w:pPr>
        <w:jc w:val="center"/>
        <w:rPr>
          <w:rFonts w:hint="eastAsia" w:asciiTheme="minorEastAsia" w:hAnsiTheme="minorEastAsia"/>
          <w:b/>
          <w:sz w:val="44"/>
          <w:szCs w:val="44"/>
        </w:rPr>
      </w:pPr>
      <w:r>
        <w:rPr>
          <w:rFonts w:hint="eastAsia" w:asciiTheme="minorEastAsia" w:hAnsiTheme="minorEastAsia"/>
          <w:b/>
          <w:sz w:val="44"/>
          <w:szCs w:val="44"/>
        </w:rPr>
        <w:t>--九大产业补助政策</w:t>
      </w:r>
    </w:p>
    <w:p>
      <w:pPr>
        <w:jc w:val="center"/>
        <w:rPr>
          <w:rFonts w:hint="eastAsia" w:asciiTheme="minorEastAsia" w:hAnsiTheme="minorEastAsia"/>
          <w:b/>
          <w:sz w:val="44"/>
          <w:szCs w:val="44"/>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为深入贯彻《中共中央 国务院关于全面实施预算绩效管理的意见》（中发</w:t>
      </w:r>
      <w:r>
        <w:rPr>
          <w:rFonts w:hint="eastAsia" w:ascii="宋体" w:hAnsi="宋体" w:eastAsia="宋体" w:cs="宋体"/>
          <w:sz w:val="28"/>
          <w:szCs w:val="28"/>
        </w:rPr>
        <w:t>﹝</w:t>
      </w:r>
      <w:r>
        <w:rPr>
          <w:rFonts w:hint="eastAsia" w:ascii="仿宋_GB2312" w:hAnsi="宋体" w:eastAsia="仿宋_GB2312" w:cs="宋体"/>
          <w:sz w:val="28"/>
          <w:szCs w:val="28"/>
        </w:rPr>
        <w:t>2018</w:t>
      </w:r>
      <w:r>
        <w:rPr>
          <w:rFonts w:hint="eastAsia" w:ascii="宋体" w:hAnsi="宋体" w:eastAsia="宋体" w:cs="宋体"/>
          <w:sz w:val="28"/>
          <w:szCs w:val="28"/>
        </w:rPr>
        <w:t>﹞</w:t>
      </w:r>
      <w:r>
        <w:rPr>
          <w:rFonts w:hint="eastAsia" w:ascii="仿宋_GB2312" w:hAnsi="宋体" w:eastAsia="仿宋_GB2312" w:cs="宋体"/>
          <w:sz w:val="28"/>
          <w:szCs w:val="28"/>
        </w:rPr>
        <w:t>34号）及《中共浙江省委 浙江省人民政府关于全面落实预算绩效管理的实施意见》（浙委发</w:t>
      </w:r>
      <w:r>
        <w:rPr>
          <w:rFonts w:hint="eastAsia" w:ascii="宋体" w:hAnsi="宋体" w:eastAsia="宋体" w:cs="宋体"/>
          <w:sz w:val="28"/>
          <w:szCs w:val="28"/>
        </w:rPr>
        <w:t>﹝</w:t>
      </w:r>
      <w:r>
        <w:rPr>
          <w:rFonts w:hint="eastAsia" w:ascii="仿宋_GB2312" w:hAnsi="宋体" w:eastAsia="仿宋_GB2312" w:cs="宋体"/>
          <w:sz w:val="28"/>
          <w:szCs w:val="28"/>
        </w:rPr>
        <w:t>2018</w:t>
      </w:r>
      <w:r>
        <w:rPr>
          <w:rFonts w:hint="eastAsia" w:ascii="宋体" w:hAnsi="宋体" w:eastAsia="宋体" w:cs="宋体"/>
          <w:sz w:val="28"/>
          <w:szCs w:val="28"/>
        </w:rPr>
        <w:t>﹞</w:t>
      </w:r>
      <w:r>
        <w:rPr>
          <w:rFonts w:hint="eastAsia" w:ascii="仿宋_GB2312" w:hAnsi="宋体" w:eastAsia="仿宋_GB2312" w:cs="宋体"/>
          <w:sz w:val="28"/>
          <w:szCs w:val="28"/>
        </w:rPr>
        <w:t>71号）精神，进一步加强财政支出绩效管理，提高财政资金使用效益和效率，根据</w:t>
      </w:r>
      <w:r>
        <w:rPr>
          <w:rFonts w:hint="eastAsia" w:ascii="仿宋_GB2312" w:eastAsia="仿宋_GB2312"/>
          <w:sz w:val="28"/>
          <w:szCs w:val="28"/>
        </w:rPr>
        <w:t>《中共丽水市委 丽水市人民政府关于全面实施预算绩效管理的若干意见》（丽委发〔2019〕24号）</w:t>
      </w:r>
      <w:r>
        <w:rPr>
          <w:rFonts w:hint="eastAsia" w:ascii="仿宋_GB2312" w:hAnsi="宋体" w:eastAsia="仿宋_GB2312" w:cs="宋体"/>
          <w:sz w:val="28"/>
          <w:szCs w:val="28"/>
        </w:rPr>
        <w:t>和《丽水市财政局关于开展2019年市直财政重点绩效评价工作的通知》(丽财监督〔2019〕99号）的工作安排要求，浙江普华会计师事务所有限公司接受丽水市财政局委托，对2016-2018年丽水市生态精品现代农业发展专项-九大产业补助政策项目实施绩效评价。</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本次绩效评价工作开展的目的在于：评价项目的目标设定情况、目标完成情况、项目组织管理水平、项目实施效益和财务管理等情况，针对项目实施过程中存在的问题提出改进意见和建议，为政策的调整提供依据和决策参考，推进市直预算绩效管理工作，使财政资金发挥更大作用与效益。</w:t>
      </w:r>
    </w:p>
    <w:p>
      <w:pPr>
        <w:spacing w:line="360" w:lineRule="auto"/>
        <w:ind w:firstLine="551" w:firstLineChars="196"/>
        <w:rPr>
          <w:rFonts w:hint="eastAsia"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（一）项目基本概况</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1.项目基本情况</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大力发展现代生态精品农业，培育食用菌、茶叶、水果、蔬菜、中药材、畜牧、油茶、笋竹、渔业九大主导产业，推进农业生态化、标准化、品牌化、电商化发展，高质量实施乡村振兴战略，打造“美丽浙江”大花园的最美核心</w:t>
      </w:r>
      <w:r>
        <w:rPr>
          <w:rFonts w:hint="eastAsia" w:ascii="仿宋_GB2312" w:hAnsi="宋体" w:eastAsia="仿宋_GB2312" w:cs="宋体"/>
          <w:sz w:val="28"/>
          <w:szCs w:val="28"/>
          <w:highlight w:val="none"/>
        </w:rPr>
        <w:t>区</w:t>
      </w:r>
      <w:r>
        <w:rPr>
          <w:rFonts w:hint="eastAsia" w:ascii="仿宋_GB2312" w:hAnsi="宋体" w:eastAsia="仿宋_GB2312" w:cs="宋体"/>
          <w:sz w:val="28"/>
          <w:szCs w:val="28"/>
        </w:rPr>
        <w:t xml:space="preserve">，推动“绿水青山”转化为“金山银山”。 </w:t>
      </w:r>
    </w:p>
    <w:p>
      <w:p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2.项目立项</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为探索建立山区经济差异化发展模式，全面推进现代农业发展，根据省委、省政府《关于加快推进农业现代化的若干意见》（浙委〔2012〕118号）精神，2013年3月，丽水市委、市政府出台《关于推进生态精品现代农业发展的实施意见》（丽委发〔2013〕24号），明确提出加大财政对农业发展的投入力度。2016-2018年，共计划拨付丽水市生态精品现代农业发展专项-九大产业补助资金2577万元。2016年5月，丽水市农业局印发《关于下达第一批2015年度丽水市生态精品现代农业考核补助计划的通知》（丽农发〔2016〕48号）；2017年6月1日，丽水市农业局印发《关于2016年度丽水市生态精品现代农业产业资金落实情况报备及2017年现代农业产业资金安排意见的通知》（丽农发〔2017〕44号）；2018年12月11日，丽水市创建浙江（丽水）农业绿色发展先行示范区领导小组办公室印发《关于做好2018年浙江（丽水）农业绿色发展先行示范区创建项目备案的通知》（丽农绿办〔2018〕4号），对2016-2018年丽水市生态精品现代农业产业资金安排及有关事项作出部署。</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2013年5月和12月，市政府先后出台了《关于印发丽水市生态精品现代农业发展实施方案的通知》（丽政办发〔2013〕81号）、《丽水市生态精品现代农业发展规划》（丽政办发〔2014〕10号）和《丽水市人民政府关于印发创建浙江（丽水）农业绿色发展先行示范区行动计划（2018—2020年）的通知》（丽政发〔2018〕8号），对生态精品现代农业九大主导产业的实施内容和实施步骤等进行细化，明确丽水生态精品现代农业九大主导产业发展思路、目标定位、发展重点、保障措施，为丽水生态精品现代农业发展提供操作规范和宏观指引。</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3.补助资金使用及管理情况</w:t>
      </w:r>
    </w:p>
    <w:p>
      <w:pPr>
        <w:spacing w:line="360" w:lineRule="auto"/>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2016-2018年九大产业补助资金分配表</w:t>
      </w:r>
    </w:p>
    <w:p>
      <w:pPr>
        <w:spacing w:line="360" w:lineRule="auto"/>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 xml:space="preserve">                                         单位：万元</w:t>
      </w:r>
    </w:p>
    <w:tbl>
      <w:tblPr>
        <w:tblStyle w:val="6"/>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8"/>
        <w:gridCol w:w="1105"/>
        <w:gridCol w:w="1145"/>
        <w:gridCol w:w="1119"/>
        <w:gridCol w:w="1145"/>
        <w:gridCol w:w="2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tcBorders>
              <w:tl2br w:val="single" w:color="auto" w:sz="4" w:space="0"/>
            </w:tcBorders>
            <w:vAlign w:val="center"/>
          </w:tcPr>
          <w:p>
            <w:pPr>
              <w:jc w:val="center"/>
              <w:rPr>
                <w:rFonts w:hint="eastAsia" w:ascii="仿宋_GB2312" w:eastAsia="仿宋_GB2312" w:hAnsiTheme="minorEastAsia" w:cstheme="minorEastAsia"/>
                <w:sz w:val="28"/>
                <w:szCs w:val="28"/>
              </w:rPr>
            </w:pP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2016年</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2017年</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茶叶</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345</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2018年留市本级200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畜牧</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226</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626</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2018年留市本级48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水果</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2018年留市本级35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食用菌</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c>
          <w:tcPr>
            <w:tcW w:w="2550" w:type="dxa"/>
            <w:vAlign w:val="center"/>
          </w:tcPr>
          <w:p>
            <w:pPr>
              <w:jc w:val="center"/>
              <w:rPr>
                <w:rFonts w:hint="eastAsia" w:ascii="仿宋_GB2312" w:eastAsia="仿宋_GB2312"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蔬菜</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2018年留市本级20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中药材</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2018年留市本级50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油茶、笋竹</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90</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284</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474</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2018年市林业安排84万元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渔业</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152</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152</w:t>
            </w:r>
          </w:p>
        </w:tc>
        <w:tc>
          <w:tcPr>
            <w:tcW w:w="255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均为市本级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8"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110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550</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515</w:t>
            </w:r>
          </w:p>
        </w:tc>
        <w:tc>
          <w:tcPr>
            <w:tcW w:w="1119"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1512</w:t>
            </w:r>
          </w:p>
        </w:tc>
        <w:tc>
          <w:tcPr>
            <w:tcW w:w="1145"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2577</w:t>
            </w:r>
          </w:p>
        </w:tc>
        <w:tc>
          <w:tcPr>
            <w:tcW w:w="2550" w:type="dxa"/>
            <w:vAlign w:val="center"/>
          </w:tcPr>
          <w:p>
            <w:pPr>
              <w:jc w:val="center"/>
              <w:rPr>
                <w:rFonts w:hint="eastAsia" w:ascii="仿宋_GB2312" w:eastAsia="仿宋_GB2312" w:hAnsiTheme="minorEastAsia" w:cstheme="minorEastAsia"/>
                <w:sz w:val="28"/>
                <w:szCs w:val="28"/>
              </w:rPr>
            </w:pPr>
          </w:p>
        </w:tc>
      </w:tr>
    </w:tbl>
    <w:p>
      <w:pPr>
        <w:jc w:val="center"/>
        <w:rPr>
          <w:rFonts w:hint="eastAsia" w:ascii="仿宋_GB2312" w:eastAsia="仿宋_GB2312"/>
          <w:b/>
          <w:sz w:val="28"/>
          <w:szCs w:val="28"/>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（1）茶叶产业发展资金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下达到生态精品现代农业发展专项资金茶叶产业补助资金共计345万元，其中：以奖代补资金145万元（2016年50万元、2017年45万元、2018年50万元），2018年本级资金200万元（支出明细账未细分至产业，使用情况不明）。2016年各县（市、区）上报10个（50万元）符合条件的项目进行以奖代补（报备）工作，落实补助资金50万元。2017年各县（市、区）确定8个（40万元）符合条件的项目进行以奖代补（报备）工作，落实补助资金40万元，云和县茶叶产业资金5万元未落实项目。2018年各县（市、区）确定9个（45万元）符合条件的项目进行以奖代补（报备）工作，青田县5万元补助资金未有合适主体，共落实补助资金45万元。</w:t>
      </w:r>
    </w:p>
    <w:p>
      <w:pPr>
        <w:jc w:val="center"/>
        <w:rPr>
          <w:rFonts w:hint="eastAsia" w:ascii="仿宋_GB2312" w:eastAsia="仿宋_GB2312" w:hAnsiTheme="minorEastAsia" w:cstheme="minorEastAsia"/>
          <w:b/>
          <w:sz w:val="28"/>
          <w:szCs w:val="28"/>
        </w:rPr>
      </w:pP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茶叶产业资金各县（市、区）分配表</w:t>
      </w:r>
    </w:p>
    <w:p>
      <w:pPr>
        <w:jc w:val="right"/>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单位：万元</w:t>
      </w:r>
    </w:p>
    <w:tbl>
      <w:tblPr>
        <w:tblStyle w:val="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636"/>
        <w:gridCol w:w="637"/>
        <w:gridCol w:w="637"/>
        <w:gridCol w:w="637"/>
        <w:gridCol w:w="637"/>
        <w:gridCol w:w="637"/>
        <w:gridCol w:w="637"/>
        <w:gridCol w:w="637"/>
        <w:gridCol w:w="637"/>
        <w:gridCol w:w="637"/>
        <w:gridCol w:w="637"/>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14" w:type="pct"/>
          </w:tcPr>
          <w:p>
            <w:pPr>
              <w:rPr>
                <w:rFonts w:hint="eastAsia" w:ascii="仿宋_GB2312" w:eastAsia="仿宋_GB2312" w:hAnsiTheme="minorEastAsia" w:cstheme="minorEastAsia"/>
                <w:sz w:val="28"/>
                <w:szCs w:val="28"/>
              </w:rPr>
            </w:pP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市本级</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开发区</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w:t>
            </w: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4"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373" w:type="pct"/>
            <w:vAlign w:val="center"/>
          </w:tcPr>
          <w:p>
            <w:pPr>
              <w:jc w:val="center"/>
              <w:rPr>
                <w:rFonts w:hint="eastAsia" w:ascii="仿宋_GB2312" w:eastAsia="仿宋_GB2312" w:hAnsiTheme="minorEastAsia" w:cstheme="minorEastAsia"/>
                <w:sz w:val="28"/>
                <w:szCs w:val="28"/>
              </w:rPr>
            </w:pP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4"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373" w:type="pct"/>
            <w:vAlign w:val="center"/>
          </w:tcPr>
          <w:p>
            <w:pPr>
              <w:spacing w:line="300" w:lineRule="exact"/>
              <w:jc w:val="center"/>
              <w:rPr>
                <w:rFonts w:hint="eastAsia" w:ascii="仿宋_GB2312" w:eastAsia="仿宋_GB2312" w:hAnsiTheme="minorEastAsia" w:cstheme="minorEastAsia"/>
                <w:sz w:val="28"/>
                <w:szCs w:val="28"/>
              </w:rPr>
            </w:pPr>
          </w:p>
        </w:tc>
        <w:tc>
          <w:tcPr>
            <w:tcW w:w="373" w:type="pct"/>
            <w:vAlign w:val="center"/>
          </w:tcPr>
          <w:p>
            <w:pPr>
              <w:spacing w:line="300" w:lineRule="exact"/>
              <w:jc w:val="center"/>
              <w:rPr>
                <w:rFonts w:hint="eastAsia" w:ascii="仿宋_GB2312" w:eastAsia="仿宋_GB2312" w:hAnsiTheme="minorEastAsia" w:cstheme="minorEastAsia"/>
                <w:sz w:val="28"/>
                <w:szCs w:val="28"/>
              </w:rPr>
            </w:pPr>
          </w:p>
        </w:tc>
        <w:tc>
          <w:tcPr>
            <w:tcW w:w="373"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4"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c>
          <w:tcPr>
            <w:tcW w:w="373" w:type="pct"/>
            <w:vAlign w:val="center"/>
          </w:tcPr>
          <w:p>
            <w:pPr>
              <w:jc w:val="center"/>
              <w:rPr>
                <w:rFonts w:hint="eastAsia" w:ascii="仿宋_GB2312" w:eastAsia="仿宋_GB2312" w:hAnsiTheme="minorEastAsia" w:cstheme="minorEastAsia"/>
                <w:sz w:val="28"/>
                <w:szCs w:val="28"/>
              </w:rPr>
            </w:pP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514"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7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345</w:t>
            </w:r>
          </w:p>
        </w:tc>
      </w:tr>
    </w:tbl>
    <w:p>
      <w:pPr>
        <w:jc w:val="center"/>
        <w:rPr>
          <w:rFonts w:hint="eastAsia" w:ascii="仿宋_GB2312" w:eastAsia="仿宋_GB2312" w:hAnsiTheme="minorEastAsia" w:cstheme="minorEastAsia"/>
          <w:b/>
          <w:sz w:val="28"/>
          <w:szCs w:val="28"/>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（2）畜牧产业发展资金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2016-2018年下达到生态精品现代农业发展专项资金畜牧业补助资金共计626万元，该项资金主要用于生态精品畜牧业考核、美丽牧场建设、“十箱万元”项目、重大动物疫病防控和信息宣传等方面。</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生态精品畜牧业考核补助资金222万元，落实资金222万元，其中：莲都区47万元、龙泉市47万元、庆元县34万元、景宁县10万元、云和县40万元、松阳县17万元、青田17万元、缙云10万元；2016-2018年“美丽牧场建设”补助资金101万元；2016-2018年“十箱万元”项目补助资金165万元。同时，安排138万元资金用于疫病监测、城区犬类免疫、疫苗及消毒用品的采购、畜牧业宣传等方面，2016年使用资金49.30万元，2017年使用资金38.21万元，2018年使用资金48.00万元，共计使用135.51万元。</w:t>
      </w:r>
    </w:p>
    <w:p>
      <w:pPr>
        <w:ind w:firstLine="560" w:firstLineChars="200"/>
        <w:rPr>
          <w:rFonts w:hint="eastAsia" w:ascii="仿宋_GB2312" w:eastAsia="仿宋_GB2312" w:hAnsiTheme="minorEastAsia" w:cstheme="minorEastAsia"/>
          <w:sz w:val="28"/>
          <w:szCs w:val="28"/>
        </w:rPr>
      </w:pP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畜牧产业资金各县（市、区）分配表</w:t>
      </w:r>
    </w:p>
    <w:p>
      <w:pPr>
        <w:spacing w:line="360" w:lineRule="auto"/>
        <w:jc w:val="right"/>
        <w:rPr>
          <w:rFonts w:hint="eastAsia" w:ascii="仿宋_GB2312" w:eastAsia="仿宋_GB2312" w:hAnsiTheme="minorEastAsia" w:cstheme="minorEastAsia"/>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tbl>
      <w:tblPr>
        <w:tblStyle w:val="6"/>
        <w:tblW w:w="9606" w:type="dxa"/>
        <w:jc w:val="center"/>
        <w:tblLayout w:type="fixed"/>
        <w:tblCellMar>
          <w:top w:w="0" w:type="dxa"/>
          <w:left w:w="108" w:type="dxa"/>
          <w:bottom w:w="0" w:type="dxa"/>
          <w:right w:w="108" w:type="dxa"/>
        </w:tblCellMar>
      </w:tblPr>
      <w:tblGrid>
        <w:gridCol w:w="1101"/>
        <w:gridCol w:w="708"/>
        <w:gridCol w:w="709"/>
        <w:gridCol w:w="709"/>
        <w:gridCol w:w="709"/>
        <w:gridCol w:w="708"/>
        <w:gridCol w:w="709"/>
        <w:gridCol w:w="709"/>
        <w:gridCol w:w="709"/>
        <w:gridCol w:w="708"/>
        <w:gridCol w:w="709"/>
        <w:gridCol w:w="709"/>
        <w:gridCol w:w="709"/>
      </w:tblGrid>
      <w:tr>
        <w:tblPrEx>
          <w:tblCellMar>
            <w:top w:w="0" w:type="dxa"/>
            <w:left w:w="108" w:type="dxa"/>
            <w:bottom w:w="0" w:type="dxa"/>
            <w:right w:w="108" w:type="dxa"/>
          </w:tblCellMar>
        </w:tblPrEx>
        <w:trPr>
          <w:trHeight w:val="609"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县（市、区）</w:t>
            </w:r>
          </w:p>
        </w:tc>
        <w:tc>
          <w:tcPr>
            <w:tcW w:w="2126" w:type="dxa"/>
            <w:gridSpan w:val="3"/>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考核补助</w:t>
            </w:r>
          </w:p>
        </w:tc>
        <w:tc>
          <w:tcPr>
            <w:tcW w:w="2126" w:type="dxa"/>
            <w:gridSpan w:val="3"/>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十箱万元</w:t>
            </w:r>
          </w:p>
        </w:tc>
        <w:tc>
          <w:tcPr>
            <w:tcW w:w="2126" w:type="dxa"/>
            <w:gridSpan w:val="3"/>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美丽牧场</w:t>
            </w:r>
          </w:p>
        </w:tc>
        <w:tc>
          <w:tcPr>
            <w:tcW w:w="2127" w:type="dxa"/>
            <w:gridSpan w:val="3"/>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vAlign w:val="center"/>
          </w:tcPr>
          <w:p>
            <w:pPr>
              <w:ind w:firstLine="600"/>
              <w:jc w:val="center"/>
              <w:rPr>
                <w:rFonts w:hint="eastAsia" w:ascii="仿宋_GB2312" w:eastAsia="仿宋_GB2312" w:hAnsiTheme="minorEastAsia" w:cstheme="minorEastAsia"/>
                <w:sz w:val="28"/>
                <w:szCs w:val="28"/>
              </w:rPr>
            </w:pP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r>
      <w:tr>
        <w:tblPrEx>
          <w:tblCellMar>
            <w:top w:w="0" w:type="dxa"/>
            <w:left w:w="108" w:type="dxa"/>
            <w:bottom w:w="0" w:type="dxa"/>
            <w:right w:w="108" w:type="dxa"/>
          </w:tblCellMar>
        </w:tblPrEx>
        <w:trPr>
          <w:trHeight w:val="454" w:hRule="atLeast"/>
          <w:jc w:val="center"/>
        </w:trPr>
        <w:tc>
          <w:tcPr>
            <w:tcW w:w="1101" w:type="dxa"/>
            <w:tcBorders>
              <w:top w:val="nil"/>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本级</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ind w:firstLine="60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48</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莲都区</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龙泉市</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33.5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22.5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22.5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35.5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19.5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12.5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景宁县</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r>
      <w:tr>
        <w:tblPrEx>
          <w:tblCellMar>
            <w:top w:w="0" w:type="dxa"/>
            <w:left w:w="108" w:type="dxa"/>
            <w:bottom w:w="0" w:type="dxa"/>
            <w:right w:w="108" w:type="dxa"/>
          </w:tblCellMar>
        </w:tblPrEx>
        <w:trPr>
          <w:trHeight w:val="454" w:hRule="atLeast"/>
          <w:jc w:val="center"/>
        </w:trPr>
        <w:tc>
          <w:tcPr>
            <w:tcW w:w="1101"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122</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40</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75</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08"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226</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c>
          <w:tcPr>
            <w:tcW w:w="709" w:type="dxa"/>
            <w:tcBorders>
              <w:top w:val="single" w:color="auto" w:sz="6" w:space="0"/>
              <w:left w:val="single" w:color="auto" w:sz="6" w:space="0"/>
              <w:bottom w:val="single" w:color="auto" w:sz="6" w:space="0"/>
              <w:right w:val="single" w:color="auto" w:sz="6" w:space="0"/>
            </w:tcBorders>
            <w:noWrap/>
            <w:vAlign w:val="center"/>
          </w:tcPr>
          <w:p>
            <w:pPr>
              <w:autoSpaceDN w:val="0"/>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200</w:t>
            </w:r>
          </w:p>
        </w:tc>
      </w:tr>
    </w:tbl>
    <w:p>
      <w:pPr>
        <w:rPr>
          <w:rFonts w:hint="eastAsia" w:ascii="仿宋_GB2312" w:eastAsia="仿宋_GB2312" w:hAnsiTheme="minorEastAsia" w:cstheme="minorEastAsia"/>
          <w:b/>
          <w:sz w:val="28"/>
          <w:szCs w:val="28"/>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（3）水果产业发展资金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 xml:space="preserve"> 2016-2018年下达到生态精品现代农业发展专项资金水果产业资金共计245万元，其中以奖代补资金210万元，2018年本级资金35万元（支出明细账未细分至产业，使用情况不明）。以奖代补资金全部转移支付到各县（市、区），其中2016年50万元，2017年45万元，2018年115万元。2016-2018年共上报了36个（其中资金尚未到基地有12个）符合水果产业申报指南的以奖代补项目。其中：2016年确定10个符合条件的项目进行以奖代补（报备）工作，落实补助50万元；2017年各县（市、区）确定8个符合条件的项目进行以奖代补（报备）工作，落实补助40万元，云和县水果产业资金5万元未落实项目（资金已经下达至县财政）；2018年各县（市、区）确定19个符合条件的项目进行以奖代补（报备）工作，其中：14个项目资金70万元已落实，5个项目资金35万元尚未落实到基地，云和县、开发区以奖代补资金各5万元，资金已经下达县（区）财政，项目未落实。</w:t>
      </w:r>
    </w:p>
    <w:p>
      <w:pPr>
        <w:ind w:firstLine="560" w:firstLineChars="200"/>
        <w:rPr>
          <w:rFonts w:hint="eastAsia" w:ascii="仿宋_GB2312" w:eastAsia="仿宋_GB2312" w:hAnsiTheme="minorEastAsia" w:cstheme="minorEastAsia"/>
          <w:sz w:val="28"/>
          <w:szCs w:val="28"/>
        </w:rPr>
      </w:pP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水果资金各县（市、区）分配表</w:t>
      </w:r>
    </w:p>
    <w:tbl>
      <w:tblPr>
        <w:tblStyle w:val="6"/>
        <w:tblpPr w:leftFromText="180" w:rightFromText="180" w:vertAnchor="text" w:horzAnchor="margin" w:tblpXSpec="center" w:tblpY="4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850"/>
        <w:gridCol w:w="850"/>
        <w:gridCol w:w="599"/>
        <w:gridCol w:w="599"/>
        <w:gridCol w:w="599"/>
        <w:gridCol w:w="599"/>
        <w:gridCol w:w="599"/>
        <w:gridCol w:w="599"/>
        <w:gridCol w:w="599"/>
        <w:gridCol w:w="599"/>
        <w:gridCol w:w="600"/>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pPr>
              <w:jc w:val="center"/>
              <w:rPr>
                <w:rFonts w:hint="eastAsia" w:ascii="仿宋_GB2312" w:eastAsia="仿宋_GB2312" w:hAnsiTheme="minorEastAsia" w:cstheme="minorEastAsia"/>
                <w:sz w:val="28"/>
                <w:szCs w:val="28"/>
              </w:rPr>
            </w:pP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市本级</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开发区</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65"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465"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65"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35</w:t>
            </w:r>
          </w:p>
        </w:tc>
        <w:tc>
          <w:tcPr>
            <w:tcW w:w="500"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10</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25</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15</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353" w:type="pct"/>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65"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50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35</w:t>
            </w:r>
          </w:p>
        </w:tc>
        <w:tc>
          <w:tcPr>
            <w:tcW w:w="500"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35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20</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25</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20</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20</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20</w:t>
            </w:r>
          </w:p>
        </w:tc>
        <w:tc>
          <w:tcPr>
            <w:tcW w:w="353" w:type="pct"/>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245</w:t>
            </w:r>
          </w:p>
        </w:tc>
      </w:tr>
    </w:tbl>
    <w:p>
      <w:pPr>
        <w:jc w:val="right"/>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p>
      <w:pPr>
        <w:rPr>
          <w:rFonts w:hint="eastAsia" w:ascii="仿宋_GB2312" w:eastAsia="仿宋_GB2312" w:hAnsiTheme="minorEastAsia" w:cstheme="minorEastAsia"/>
          <w:b/>
          <w:sz w:val="28"/>
          <w:szCs w:val="28"/>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（4）食用菌产业发展资金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下达到生态精品现代农业发展专项资金食用菌产业资金-以奖代补资金共计245万元，其中2016年50万元，上报了9个符合食用菌产业申报指南的以奖代补项目，落实资金45万元，云和县5万元资金未落实项目；2017年45万元，上报了8个符合食用菌产业申报指南的以奖代补项目，落实资金40万元，云和县项目已落实，5万元资金尚未拨付；2018年150万元，除云和县10万元未落实，其余140万元资金均已落实。</w:t>
      </w:r>
    </w:p>
    <w:p>
      <w:pPr>
        <w:jc w:val="center"/>
        <w:rPr>
          <w:rFonts w:hint="eastAsia" w:ascii="仿宋_GB2312" w:eastAsia="仿宋_GB2312" w:hAnsiTheme="minorEastAsia" w:cstheme="minorEastAsia"/>
          <w:b/>
          <w:sz w:val="28"/>
          <w:szCs w:val="28"/>
        </w:rPr>
      </w:pP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食用菌资金各县（市、区）分配表</w:t>
      </w:r>
    </w:p>
    <w:p>
      <w:pPr>
        <w:ind w:right="480" w:firstLine="6336" w:firstLineChars="2254"/>
        <w:rPr>
          <w:rFonts w:hint="eastAsia" w:ascii="仿宋_GB2312" w:eastAsia="仿宋_GB2312" w:hAnsiTheme="minorEastAsia" w:cstheme="minorEastAsia"/>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764"/>
        <w:gridCol w:w="765"/>
        <w:gridCol w:w="765"/>
        <w:gridCol w:w="765"/>
        <w:gridCol w:w="765"/>
        <w:gridCol w:w="765"/>
        <w:gridCol w:w="765"/>
        <w:gridCol w:w="765"/>
        <w:gridCol w:w="765"/>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510" w:type="pct"/>
          </w:tcPr>
          <w:p>
            <w:pPr>
              <w:rPr>
                <w:rFonts w:hint="eastAsia" w:ascii="仿宋_GB2312" w:eastAsia="仿宋_GB2312" w:hAnsiTheme="minorEastAsia" w:cstheme="minorEastAsia"/>
                <w:sz w:val="28"/>
                <w:szCs w:val="28"/>
              </w:rPr>
            </w:pP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spacing w:line="300" w:lineRule="exact"/>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448"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r>
    </w:tbl>
    <w:p>
      <w:pPr>
        <w:spacing w:line="360" w:lineRule="auto"/>
        <w:ind w:firstLine="560" w:firstLineChars="200"/>
        <w:rPr>
          <w:rFonts w:hint="eastAsia" w:ascii="仿宋_GB2312" w:eastAsia="仿宋_GB2312" w:hAnsiTheme="minorEastAsia" w:cstheme="minorEastAsia"/>
          <w:sz w:val="28"/>
          <w:szCs w:val="28"/>
        </w:rPr>
      </w:pP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（5）蔬菜产业发展资金</w:t>
      </w:r>
    </w:p>
    <w:p>
      <w:pPr>
        <w:spacing w:line="500" w:lineRule="exact"/>
        <w:ind w:firstLine="560" w:firstLineChars="200"/>
        <w:rPr>
          <w:rFonts w:hint="eastAsia" w:ascii="仿宋_GB2312" w:eastAsia="仿宋_GB2312" w:hAnsiTheme="minorEastAsia" w:cstheme="minorEastAsia"/>
          <w:sz w:val="28"/>
          <w:szCs w:val="28"/>
        </w:rPr>
      </w:pPr>
      <w:r>
        <w:rPr>
          <w:rFonts w:hint="eastAsia" w:ascii="仿宋_GB2312" w:hAnsi="宋体" w:eastAsia="仿宋_GB2312" w:cs="宋体"/>
          <w:sz w:val="28"/>
          <w:szCs w:val="28"/>
        </w:rPr>
        <w:t>2016-2018年下达到生态精品现代农业发展专项资金蔬菜产业资金共计245万元，其中以奖代补资金225万元，2018年市本级资金20万元（支出明细账未细分至产业，使用情况不明）。以奖代补资金已全部转移支付到全市各县（市、区），其中2016年上报了10个符合蔬菜产业申报指南的以奖代补项目，落实资金50万元；2017年以奖代补资金45万元，上报了9个符合蔬菜产业申报指南的以奖代补项目，落实资金45万元；2018年以奖代补补助资金130万元，上报项目25个，其中11个项目资金55万元已经落实，14个项目已报资金70万元未落实到基地，松阳县5万元资金尚未安排项目。</w:t>
      </w: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蔬菜资金各县（市、区）分配表</w:t>
      </w:r>
    </w:p>
    <w:tbl>
      <w:tblPr>
        <w:tblStyle w:val="6"/>
        <w:tblpPr w:leftFromText="180" w:rightFromText="180" w:vertAnchor="text" w:horzAnchor="margin" w:tblpXSpec="center" w:tblpY="425"/>
        <w:tblW w:w="8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964"/>
        <w:gridCol w:w="680"/>
        <w:gridCol w:w="680"/>
        <w:gridCol w:w="680"/>
        <w:gridCol w:w="680"/>
        <w:gridCol w:w="680"/>
        <w:gridCol w:w="680"/>
        <w:gridCol w:w="680"/>
        <w:gridCol w:w="680"/>
        <w:gridCol w:w="680"/>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dxa"/>
            <w:vAlign w:val="center"/>
          </w:tcPr>
          <w:p>
            <w:pPr>
              <w:jc w:val="center"/>
              <w:rPr>
                <w:rFonts w:hint="eastAsia" w:ascii="仿宋_GB2312" w:eastAsia="仿宋_GB2312" w:hAnsiTheme="minorEastAsia" w:cstheme="minorEastAsia"/>
                <w:sz w:val="28"/>
                <w:szCs w:val="28"/>
              </w:rPr>
            </w:pP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市本级</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68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20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30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30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680"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color w:val="000000"/>
                <w:sz w:val="28"/>
                <w:szCs w:val="28"/>
                <w:lang w:bidi="ar"/>
              </w:rPr>
              <w:t>10</w:t>
            </w:r>
          </w:p>
        </w:tc>
        <w:tc>
          <w:tcPr>
            <w:tcW w:w="680" w:type="dxa"/>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35</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40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20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10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20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40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20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20</w:t>
            </w:r>
          </w:p>
        </w:tc>
        <w:tc>
          <w:tcPr>
            <w:tcW w:w="680" w:type="dxa"/>
            <w:vAlign w:val="center"/>
          </w:tcPr>
          <w:p>
            <w:pPr>
              <w:jc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sz w:val="28"/>
                <w:szCs w:val="28"/>
              </w:rPr>
              <w:t>20</w:t>
            </w:r>
          </w:p>
        </w:tc>
        <w:tc>
          <w:tcPr>
            <w:tcW w:w="680" w:type="dxa"/>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245</w:t>
            </w:r>
          </w:p>
        </w:tc>
      </w:tr>
    </w:tbl>
    <w:p>
      <w:pPr>
        <w:jc w:val="right"/>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（6）中药材产业发展资金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下达到生态精品现代农业发展专项资金中药材产业资金共计245万元，其中：以奖代补资金共245万元，本级资金50万元（支出明细账未细分至产业，使用情况不明）。以奖代补资金已全部转移支付到全市各县（市、区），其中2016年上报了10个符合中药材产业申报指南的以奖代补项目，落实资金50万元；2017年以奖代补补助资金45万元，上报了9个符合中药材产业申报指南的以奖代补项目，落实资金40.5万元，云和县4.5万元未有安排项目；2018年以奖代补补助资金100万元，上报了19个符合中药材产业申报指南的以奖代补项目，其中：9个项目45万元资金已经落实到基地，10个项目已报资金50万元未落实到基地（项目已确定，资金下拨到基地还在走程序中），云和县5万元未有安排项目。</w:t>
      </w: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中药材资金各县（市、区）分配表</w:t>
      </w:r>
    </w:p>
    <w:tbl>
      <w:tblPr>
        <w:tblStyle w:val="6"/>
        <w:tblpPr w:leftFromText="180" w:rightFromText="180" w:vertAnchor="text" w:horzAnchor="margin" w:tblpXSpec="center" w:tblpY="42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495"/>
        <w:gridCol w:w="495"/>
        <w:gridCol w:w="773"/>
        <w:gridCol w:w="495"/>
        <w:gridCol w:w="773"/>
        <w:gridCol w:w="773"/>
        <w:gridCol w:w="773"/>
        <w:gridCol w:w="773"/>
        <w:gridCol w:w="495"/>
        <w:gridCol w:w="773"/>
        <w:gridCol w:w="496"/>
        <w:gridCol w:w="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9" w:type="pct"/>
            <w:vAlign w:val="center"/>
          </w:tcPr>
          <w:p>
            <w:pPr>
              <w:jc w:val="center"/>
              <w:rPr>
                <w:rFonts w:hint="eastAsia" w:ascii="仿宋_GB2312" w:eastAsia="仿宋_GB2312" w:hAnsiTheme="minorEastAsia" w:cstheme="minorEastAsia"/>
                <w:sz w:val="28"/>
                <w:szCs w:val="28"/>
              </w:rPr>
            </w:pP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市本级</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开发区</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都</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田</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和</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元</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w:t>
            </w:r>
          </w:p>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阳</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w:t>
            </w:r>
          </w:p>
        </w:tc>
        <w:tc>
          <w:tcPr>
            <w:tcW w:w="35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19.5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34</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29.5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19.5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29</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19.5</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w:t>
            </w:r>
          </w:p>
        </w:tc>
        <w:tc>
          <w:tcPr>
            <w:tcW w:w="389" w:type="pct"/>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245</w:t>
            </w:r>
          </w:p>
        </w:tc>
      </w:tr>
    </w:tbl>
    <w:p>
      <w:pPr>
        <w:jc w:val="right"/>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（7）油茶、笋竹产业发展资金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2016-2018年全市生态精品农业（林业部分）补助资金共计474万元，资金主要用于生态精品农业“912”工程建设；培育木本油料和笋竹绿色有机农产品基地以奖代补；农家乐民宿经济森林小镇、林业体验园、森林人家特色村等林业项目建设以奖代补。大部分资料无法获取，资金使用以及管理情况无法获知。</w:t>
      </w:r>
    </w:p>
    <w:p>
      <w:pPr>
        <w:jc w:val="center"/>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油茶、笋竹资金各县（市、区）分配表</w:t>
      </w:r>
    </w:p>
    <w:tbl>
      <w:tblPr>
        <w:tblStyle w:val="6"/>
        <w:tblpPr w:leftFromText="180" w:rightFromText="180" w:vertAnchor="text" w:horzAnchor="margin" w:tblpXSpec="center" w:tblpY="425"/>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737"/>
        <w:gridCol w:w="737"/>
        <w:gridCol w:w="737"/>
        <w:gridCol w:w="737"/>
        <w:gridCol w:w="737"/>
        <w:gridCol w:w="737"/>
        <w:gridCol w:w="737"/>
        <w:gridCol w:w="737"/>
        <w:gridCol w:w="737"/>
        <w:gridCol w:w="964"/>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年份</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莲都</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龙泉</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青田</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云和</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庆元</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缙云</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遂昌</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松阳</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景宁</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开发区</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70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2016</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w:t>
            </w:r>
          </w:p>
        </w:tc>
        <w:tc>
          <w:tcPr>
            <w:tcW w:w="964"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2017</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13</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13</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8.5</w:t>
            </w: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13</w:t>
            </w:r>
          </w:p>
        </w:tc>
        <w:tc>
          <w:tcPr>
            <w:tcW w:w="964" w:type="dxa"/>
            <w:vAlign w:val="center"/>
          </w:tcPr>
          <w:p>
            <w:pPr>
              <w:jc w:val="center"/>
              <w:rPr>
                <w:rFonts w:hint="eastAsia" w:ascii="仿宋_GB2312" w:eastAsia="仿宋_GB2312" w:hAnsiTheme="minorEastAsia" w:cstheme="minorEastAsia"/>
                <w:sz w:val="28"/>
                <w:szCs w:val="28"/>
              </w:rPr>
            </w:pPr>
          </w:p>
        </w:tc>
        <w:tc>
          <w:tcPr>
            <w:tcW w:w="737"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w:t>
            </w:r>
          </w:p>
        </w:tc>
        <w:tc>
          <w:tcPr>
            <w:tcW w:w="737" w:type="dxa"/>
            <w:vAlign w:val="center"/>
          </w:tcPr>
          <w:p>
            <w:pP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29.5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34.5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41</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17.5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29</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33.5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43</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25.5</w:t>
            </w:r>
          </w:p>
        </w:tc>
        <w:tc>
          <w:tcPr>
            <w:tcW w:w="964" w:type="dxa"/>
            <w:vAlign w:val="center"/>
          </w:tcPr>
          <w:p>
            <w:pPr>
              <w:jc w:val="center"/>
              <w:textAlignment w:val="center"/>
              <w:rPr>
                <w:rFonts w:hint="eastAsia" w:ascii="仿宋_GB2312" w:eastAsia="仿宋_GB2312" w:hAnsiTheme="minorEastAsia" w:cstheme="minorEastAsia"/>
                <w:color w:val="000000"/>
                <w:sz w:val="28"/>
                <w:szCs w:val="28"/>
                <w:lang w:bidi="ar"/>
              </w:rPr>
            </w:pPr>
          </w:p>
        </w:tc>
        <w:tc>
          <w:tcPr>
            <w:tcW w:w="737" w:type="dxa"/>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00" w:type="dxa"/>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51.5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57</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58.5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39.5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53</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46.5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56</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60.5</w:t>
            </w:r>
          </w:p>
        </w:tc>
        <w:tc>
          <w:tcPr>
            <w:tcW w:w="737" w:type="dxa"/>
            <w:vAlign w:val="center"/>
          </w:tcPr>
          <w:p>
            <w:pPr>
              <w:jc w:val="center"/>
              <w:textAlignment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47.5</w:t>
            </w:r>
          </w:p>
        </w:tc>
        <w:tc>
          <w:tcPr>
            <w:tcW w:w="964" w:type="dxa"/>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4</w:t>
            </w:r>
          </w:p>
        </w:tc>
        <w:tc>
          <w:tcPr>
            <w:tcW w:w="737" w:type="dxa"/>
            <w:vAlign w:val="center"/>
          </w:tcPr>
          <w:p>
            <w:pPr>
              <w:jc w:val="center"/>
              <w:textAlignment w:val="center"/>
              <w:rPr>
                <w:rFonts w:hint="eastAsia" w:ascii="仿宋_GB2312" w:eastAsia="仿宋_GB2312" w:hAnsiTheme="minorEastAsia" w:cstheme="minorEastAsia"/>
                <w:color w:val="000000"/>
                <w:sz w:val="28"/>
                <w:szCs w:val="28"/>
                <w:lang w:bidi="ar"/>
              </w:rPr>
            </w:pPr>
            <w:r>
              <w:rPr>
                <w:rFonts w:hint="eastAsia" w:ascii="仿宋_GB2312" w:eastAsia="仿宋_GB2312" w:hAnsiTheme="minorEastAsia" w:cstheme="minorEastAsia"/>
                <w:color w:val="000000"/>
                <w:sz w:val="28"/>
                <w:szCs w:val="28"/>
                <w:lang w:bidi="ar"/>
              </w:rPr>
              <w:t>474</w:t>
            </w:r>
          </w:p>
        </w:tc>
      </w:tr>
    </w:tbl>
    <w:p>
      <w:pPr>
        <w:jc w:val="right"/>
        <w:rPr>
          <w:rFonts w:hint="eastAsia" w:ascii="仿宋_GB2312" w:eastAsia="仿宋_GB2312" w:hAnsiTheme="minorEastAsia" w:cstheme="minorEastAsia"/>
          <w:b/>
          <w:sz w:val="28"/>
          <w:szCs w:val="28"/>
        </w:rPr>
      </w:pPr>
      <w:r>
        <w:rPr>
          <w:rFonts w:hint="eastAsia" w:ascii="仿宋_GB2312" w:eastAsia="仿宋_GB2312" w:hAnsiTheme="minorEastAsia" w:cstheme="minorEastAsia"/>
          <w:b/>
          <w:sz w:val="28"/>
          <w:szCs w:val="28"/>
        </w:rPr>
        <w:t xml:space="preserve"> </w:t>
      </w:r>
      <w:r>
        <w:rPr>
          <w:rFonts w:hint="eastAsia" w:ascii="仿宋_GB2312" w:eastAsia="仿宋_GB2312" w:hAnsiTheme="minorEastAsia" w:cstheme="minorEastAsia"/>
          <w:sz w:val="28"/>
          <w:szCs w:val="28"/>
        </w:rPr>
        <w:t>单位：万元</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（8）渔业发展资金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2018年度生态精品农业-渔业补助资金152万元，均系市本级资金。资金使用情况如下表：</w:t>
      </w:r>
    </w:p>
    <w:tbl>
      <w:tblPr>
        <w:tblStyle w:val="6"/>
        <w:tblW w:w="5000" w:type="pct"/>
        <w:tblInd w:w="0" w:type="dxa"/>
        <w:tblLayout w:type="autofit"/>
        <w:tblCellMar>
          <w:top w:w="0" w:type="dxa"/>
          <w:left w:w="0" w:type="dxa"/>
          <w:bottom w:w="0" w:type="dxa"/>
          <w:right w:w="0" w:type="dxa"/>
        </w:tblCellMar>
      </w:tblPr>
      <w:tblGrid>
        <w:gridCol w:w="1024"/>
        <w:gridCol w:w="4496"/>
        <w:gridCol w:w="1425"/>
        <w:gridCol w:w="1391"/>
      </w:tblGrid>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序号</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项目名称</w:t>
            </w:r>
          </w:p>
        </w:tc>
        <w:tc>
          <w:tcPr>
            <w:tcW w:w="8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2018年财政批复</w:t>
            </w:r>
          </w:p>
        </w:tc>
        <w:tc>
          <w:tcPr>
            <w:tcW w:w="83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2018年累计支付</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“丽水香鱼”品牌宣传</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26.00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26.00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丽水市渔业资源增殖放流项目</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45.80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丽水市增殖放流效果评估项目</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渔业信息平台维护费</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丽水市生态精品农博会</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30.00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2018年马口鱼示范推广</w:t>
            </w:r>
          </w:p>
        </w:tc>
        <w:tc>
          <w:tcPr>
            <w:tcW w:w="8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25.00</w:t>
            </w:r>
          </w:p>
        </w:tc>
        <w:tc>
          <w:tcPr>
            <w:tcW w:w="83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25.00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w:t>
            </w:r>
          </w:p>
        </w:tc>
        <w:tc>
          <w:tcPr>
            <w:tcW w:w="269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台湾铲颌鱼仿生态人工繁殖技术研究</w:t>
            </w:r>
          </w:p>
        </w:tc>
        <w:tc>
          <w:tcPr>
            <w:tcW w:w="85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8.00</w:t>
            </w:r>
          </w:p>
        </w:tc>
        <w:tc>
          <w:tcPr>
            <w:tcW w:w="83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8.00</w:t>
            </w:r>
          </w:p>
        </w:tc>
      </w:tr>
      <w:tr>
        <w:tblPrEx>
          <w:tblCellMar>
            <w:top w:w="0" w:type="dxa"/>
            <w:left w:w="0" w:type="dxa"/>
            <w:bottom w:w="0" w:type="dxa"/>
            <w:right w:w="0" w:type="dxa"/>
          </w:tblCellMar>
        </w:tblPrEx>
        <w:trPr>
          <w:trHeight w:val="454" w:hRule="atLeast"/>
        </w:trPr>
        <w:tc>
          <w:tcPr>
            <w:tcW w:w="6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p>
        </w:tc>
        <w:tc>
          <w:tcPr>
            <w:tcW w:w="269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合计</w:t>
            </w:r>
          </w:p>
        </w:tc>
        <w:tc>
          <w:tcPr>
            <w:tcW w:w="85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152.00</w:t>
            </w:r>
          </w:p>
        </w:tc>
        <w:tc>
          <w:tcPr>
            <w:tcW w:w="83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147.80</w:t>
            </w:r>
          </w:p>
        </w:tc>
      </w:tr>
    </w:tbl>
    <w:p>
      <w:pPr>
        <w:numPr>
          <w:ilvl w:val="255"/>
          <w:numId w:val="0"/>
        </w:numPr>
        <w:spacing w:line="360" w:lineRule="auto"/>
        <w:ind w:firstLine="562" w:firstLineChars="200"/>
        <w:rPr>
          <w:rFonts w:hint="eastAsia"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（二）实地检查及问卷情况</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根据《绩效评价实施方案》，本次实地检查重点抽查了丽水市9个县（市、区）共16个项目，其中：茶叶产业以奖代补项目2个，畜牧-美丽牧场建设项目3个，畜牧-十箱万元项目3个，水果产业以奖代补项目1个，食用菌产业以奖代补项目1个，蔬菜产业以奖代补项目2个，中药材产业以奖代补项目2个，林业-体验园项目1个，渔业项目1个。（详见附件2：2016-2018年生态精品现代农业发展专项-九大产业项目实地检查抽查表）</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本次实地调查问卷涉及丽水市及各县（市、区）九大产业项目相关人员。政府管理人员实地调查问卷25份，电话调查问卷12份（其中获取问卷8份，4人未做问卷）；项目实施相关方实地调查问卷14份，电话调查问卷21份（获取问卷18份，3人未做问卷）。</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政府管理人员（问卷一）有效调查问卷33份，调查问卷结果显示，政策是否符合当地经济社会发展需要：78.79%人员表示符合，18.18%表示较符合，3.03%表示不太符合；对区域经济发展的推动作用：39.39%人员表示作用非常大，51.52%表示作用比较大，9.09%表示没有作用；对政策的总体评价：30.30%人员表示很满意，69.70%表示较满意。部分受调查人员建议：资金扶持力度还太小，需要进一步加大扶持力度；最好能补助到真正需要的企业，不要一味追求大规模，有针对性的补助对小企业可能有更大帮助；能有具体的实施意见（各县以奖代补实施不同，未能统一）。</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项目实施相关方（问卷二）有效调查问卷32份，调查问卷结果显示，对政府推行丽水市生态精品现代农业九大产业发展专项补助政策是否了解：9.38%人员表示非常了解，59.38%人员表示基本了解，28.12%人员表示了解不多，3.12%人员表示不了解；对单位的经营效益影响如何：34.37%人员表示影响很大，28.13%人员表示影响较大，31.25%人员表示影响一般，6.25%人员表示影响不明显；项目实施相关方满意度：40.62%人员表示很满意，46.88%人员表示较满意，9.38%人员表示不太满意，3.12%人员表示不满意。部分受调查人员建议：加大扶持力度，助力企业做大做强；希望政策更加有针对性。</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详见附件3：问卷调查统计表</w:t>
      </w:r>
    </w:p>
    <w:p>
      <w:pPr>
        <w:numPr>
          <w:ilvl w:val="255"/>
          <w:numId w:val="0"/>
        </w:numPr>
        <w:spacing w:line="360" w:lineRule="auto"/>
        <w:ind w:firstLine="551" w:firstLineChars="196"/>
        <w:rPr>
          <w:rFonts w:hint="eastAsia"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（三）政策评价结论</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绩效评价小组通过查阅资料、询问查证、抽查会计凭证、实地检查、问卷调查等方式，深入各有关单位组织实施绩效评价工作，在全面了解和掌握情况的基础上，对项目进行以下评价：</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1.政策相关性一般。得分7分。政策目标基本明确，符合政策方向，扶持内容存在与其他政策类似、重叠情况，在符合当地经济发展的要求上也需要进一步加强。</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2.政策效率性一般。得分5.5分。该政策执行效率不高，业务管理制度不够完善，部分县资金拨付不够及时。</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3.政策有效性一般。得分7分。政策对区域效益具有一定推动作用，但部分项目经济效益不明显，受益对象对政策满意度一般。</w:t>
      </w:r>
    </w:p>
    <w:p>
      <w:pPr>
        <w:numPr>
          <w:ilvl w:val="255"/>
          <w:numId w:val="0"/>
        </w:numPr>
        <w:spacing w:line="500" w:lineRule="exact"/>
        <w:ind w:firstLine="562" w:firstLineChars="200"/>
        <w:rPr>
          <w:rFonts w:hint="eastAsia"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（四）政策绩效</w:t>
      </w:r>
    </w:p>
    <w:p>
      <w:pPr>
        <w:numPr>
          <w:ilvl w:val="255"/>
          <w:numId w:val="0"/>
        </w:num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1.提升产业效益，对产业发展具有一定推动作用</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食用菌产业，重点扶持食用菌(包括菌棒)集约化、工厂化生产基地，食用菌自动化接种装备开发以及食用菌精深加工产品开发等，累计建成食用菌菌棒（料棒）厂总计160多家，生产能力达1亿袋；茶产业，重点扶持“高效生态精品茶叶示范基地、示范茶厂、营销窗口、茶产业转型升级与服务模式创新”等；蔬菜产业，重点扶持蔬菜生态精品示范基地建设、社会化服务点建设、产业绿色发展宣传营销等，2018年扶持了6个社会化服务点和10个蔬菜示范基地的建设；水果产业，重点扶持生态、精品、特色水果示范基地，设施建设，果园改造、基地提升等，引进示范桃、猕猴桃等水果新品种，建设完善了基础设施，进一步提升了基地标准化、规范化水平；中药材产业，重点扶持规模中药材生产基地，中药材产业融合基地，产业技术服务平台等；畜牧产业，资金重点用于畜牧业考核、美丽牧场建设、十箱万元项目、重大动物疫病防控和信息宣传等方面，全市2016-2018年创建美丽牧场108家，改善了畜禽养殖“脏乱差臭”的形象。</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通过以奖代补等方式，对食用菌、茶叶、水果、蔬菜、中药材、畜牧、笋竹、油茶、渔业等九大农业主导产业</w:t>
      </w:r>
      <w:r>
        <w:rPr>
          <w:rFonts w:hint="eastAsia" w:ascii="仿宋_GB2312" w:hAnsi="宋体" w:eastAsia="仿宋_GB2312" w:cs="宋体"/>
          <w:sz w:val="28"/>
          <w:szCs w:val="28"/>
          <w:lang w:eastAsia="zh-CN"/>
        </w:rPr>
        <w:t>规模</w:t>
      </w:r>
      <w:r>
        <w:rPr>
          <w:rFonts w:hint="eastAsia" w:ascii="仿宋_GB2312" w:hAnsi="宋体" w:eastAsia="仿宋_GB2312" w:cs="宋体"/>
          <w:sz w:val="28"/>
          <w:szCs w:val="28"/>
        </w:rPr>
        <w:t>化生产具有推动作用，一定程度上带动产业发展。</w:t>
      </w:r>
    </w:p>
    <w:p>
      <w:pPr>
        <w:numPr>
          <w:ilvl w:val="255"/>
          <w:numId w:val="0"/>
        </w:num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2.部分专项资金放大效应得到有效发挥</w:t>
      </w:r>
    </w:p>
    <w:p>
      <w:pPr>
        <w:spacing w:line="360" w:lineRule="auto"/>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通过九大产业补助政策的实施，调动了各方参与产业建设的积极性，财政小投入带动了社会大投入，起到了政府财政资金“四两拨千金”的作用，如：渔业“2018年马口鱼示范推广”项目，补助资金25万元，在莲都、云和、遂昌、景宁、青田五个县共建立7个示范点。其中：池塘养殖示范点2个，循环水养殖示范点1个，帆布桶（或塑料桶）养殖示范点3个，水泥池养殖示范点1个。共投放鱼苗119.8万尾，产出成鱼14.23吨，实现产值128.08万元，利润57.66万元。其中：池塘养殖平均单产180.5公斤/亩，利润8856元/亩；循环水养殖平均单产达到11.3公斤/立方米，利润283元/立方米；帆布桶（或塑料桶）养殖平均单产达到2.7公斤/立方米，利润102万元/立方米；水泥池养殖平均单产达到5.3公斤/立方米，利润144元/立方米。通过对马口鱼的示范推广，带动丽水市溪鱼产业发展，为农民增收致富提供新渠道。</w:t>
      </w:r>
    </w:p>
    <w:p>
      <w:pPr>
        <w:numPr>
          <w:ilvl w:val="255"/>
          <w:numId w:val="0"/>
        </w:num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3.促进农民增收，加快脱贫致富步伐</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产业发展以奖代补资金，通过对各产业以奖代补形式进行奖励，推动产业建设，提升产业经营效益，加强各产业主体积极性，促进农民增收。其中：畜牧产业“十箱万元”项目，通过扶持低收入农户饲养中蜂，实现助农增收，完成状况总体良好，较大的激发了广大农民养蜂脱贫致富的积极性。2018年度龙泉市“十箱万元”项目共扶持了17个乡镇，扶贫低收入户448户，新增蜂群1863群，其中圆筒蜂232群，箱蜂1631群，户均增收达4000元。</w:t>
      </w:r>
    </w:p>
    <w:p>
      <w:pPr>
        <w:numPr>
          <w:ilvl w:val="255"/>
          <w:numId w:val="0"/>
        </w:numPr>
        <w:spacing w:line="500" w:lineRule="exact"/>
        <w:ind w:firstLine="562" w:firstLineChars="200"/>
        <w:rPr>
          <w:rFonts w:hint="eastAsia" w:ascii="仿宋_GB2312" w:eastAsia="仿宋_GB2312" w:hAnsiTheme="minorEastAsia" w:cstheme="minorEastAsia"/>
          <w:b/>
          <w:bCs/>
          <w:sz w:val="28"/>
          <w:szCs w:val="28"/>
        </w:rPr>
      </w:pPr>
      <w:r>
        <w:rPr>
          <w:rFonts w:hint="eastAsia" w:ascii="仿宋_GB2312" w:eastAsia="仿宋_GB2312" w:hAnsiTheme="minorEastAsia" w:cstheme="minorEastAsia"/>
          <w:b/>
          <w:bCs/>
          <w:sz w:val="28"/>
          <w:szCs w:val="28"/>
        </w:rPr>
        <w:t>（五）评价发现的问题</w:t>
      </w:r>
    </w:p>
    <w:p>
      <w:pPr>
        <w:spacing w:line="50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1.政策实施缺乏明确的绩效目标</w:t>
      </w:r>
    </w:p>
    <w:p>
      <w:pPr>
        <w:numPr>
          <w:ilvl w:val="255"/>
          <w:numId w:val="0"/>
        </w:numPr>
        <w:spacing w:line="50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未有对九大产业补助政策设置绩效目标。其中“以奖代补”项目，</w:t>
      </w:r>
      <w:r>
        <w:rPr>
          <w:rFonts w:hint="eastAsia" w:ascii="仿宋_GB2312" w:hAnsi="宋体" w:eastAsia="仿宋_GB2312" w:cs="宋体"/>
          <w:sz w:val="28"/>
          <w:szCs w:val="28"/>
        </w:rPr>
        <w:t>补助资金由各地县（市、区）农业农村局具体实施，市农业部门仅负责项目报备材料收集，未明确资金后续如何使用，无法量化统计绩效情况，导致部分县（市、区）对于资金使用较为谨慎。</w:t>
      </w:r>
    </w:p>
    <w:p>
      <w:pPr>
        <w:spacing w:line="50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2.项目管理不够到位，部分资金分配未及时“落地”</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1）未严格执行相关制度。根据市财政局、市农业局、市林业局、市水利局《关于印发丽水市生态精品现代农业发展资金管理办法的通知》(丽财农(2013)346号)第十八条：市农业主管部门和财政部门对生态精品现代农业发展资金实行跟踪管理，定期或不定期地对资金使用和项目进展情况进行监督检查，督促资金使用单位加强资金和项目管理。实际市相关主管部门资金的跟踪管理不够到位，项目后期管理有待加强。</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补助资金报备资料审核不严格。以奖代补项目由各县（市、区）基层推荐，县（市、区）农业部门筛选、现场查验、具体资金下达和报备，对资金使用及真实性负责。本次评价过程中实地查看项目情况发现，各县（市、区）对于项目报备表中情况描述大多采用量化指标，但部分数据并无依据支撑，无法核实。</w:t>
      </w:r>
    </w:p>
    <w:p>
      <w:pPr>
        <w:spacing w:line="50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3.政策存在重叠及部分补助政策有重复补助顾虑</w:t>
      </w:r>
    </w:p>
    <w:p>
      <w:pPr>
        <w:numPr>
          <w:ilvl w:val="255"/>
          <w:numId w:val="0"/>
        </w:numPr>
        <w:spacing w:line="500" w:lineRule="exact"/>
        <w:ind w:firstLine="560" w:firstLineChars="200"/>
        <w:rPr>
          <w:rFonts w:hint="eastAsia" w:ascii="仿宋_GB2312" w:hAnsi="宋体" w:eastAsia="仿宋_GB2312" w:cs="宋体"/>
          <w:sz w:val="28"/>
          <w:szCs w:val="28"/>
        </w:rPr>
      </w:pPr>
      <w:r>
        <w:rPr>
          <w:rFonts w:hint="eastAsia" w:ascii="仿宋_GB2312" w:eastAsia="仿宋_GB2312" w:hAnsiTheme="minorEastAsia" w:cstheme="minorEastAsia"/>
          <w:sz w:val="28"/>
          <w:szCs w:val="28"/>
        </w:rPr>
        <w:t>政策存在重叠，例如：</w:t>
      </w:r>
      <w:r>
        <w:rPr>
          <w:rFonts w:hint="eastAsia" w:ascii="仿宋_GB2312" w:hAnsi="宋体" w:eastAsia="仿宋_GB2312" w:cs="宋体"/>
          <w:sz w:val="28"/>
          <w:szCs w:val="28"/>
        </w:rPr>
        <w:t>2017年畜牧业-美丽牧场项目补助缙云县10万元，落实主体为缙云县阿贤家庭农场，补助金额12万元，其中2万元为县级资金配套，同时，院校合作补助政策中“丽水中蜂资源保护、挖掘与利用”项目也作用于该主体，项目补助落实到主体24万；政策之间存在重叠交叉或相互冲突的情况，针对业主的以奖代补资金有重复补助的顾虑，例如：与云和县相关主管部门沟通发现，因对多头补助可能造成重复补助的顾虑，水果产业2017以及2018年度资金均未落实项目。</w:t>
      </w:r>
    </w:p>
    <w:p>
      <w:pPr>
        <w:spacing w:line="500" w:lineRule="exact"/>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4.政策效率一般，激励作用不够明显</w:t>
      </w:r>
    </w:p>
    <w:p>
      <w:pPr>
        <w:numPr>
          <w:ilvl w:val="255"/>
          <w:numId w:val="0"/>
        </w:num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以奖代补项目，平均化补助、“撒胡椒面”现象比较普遍，激励作用不够明显。部分项目资金补助偏向于一些较大的企业，但据实地了解，这些主体所获得的补助资金相对其投资规模而言可以说微不足道，实际上起不到明显的激励、引导效果。</w:t>
      </w:r>
    </w:p>
    <w:p>
      <w:pPr>
        <w:numPr>
          <w:ilvl w:val="255"/>
          <w:numId w:val="0"/>
        </w:num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畜牧-十箱万元项目，部分地区存在由于蜜源不足、农户养蜂技术不高以及补助对象筛选不严格等原因导致收益欠佳情况。同时根据问卷反映，受益单位普遍对资金需求较大，而政策中以奖代补项目资金补助较平均，未能体现政策的明确导向，难以发挥有效的引导和激励作用。</w:t>
      </w:r>
    </w:p>
    <w:p>
      <w:pPr>
        <w:numPr>
          <w:ilvl w:val="255"/>
          <w:numId w:val="0"/>
        </w:numPr>
        <w:spacing w:line="500" w:lineRule="exact"/>
        <w:rPr>
          <w:rFonts w:hint="eastAsia" w:ascii="仿宋_GB2312" w:eastAsia="仿宋_GB2312" w:hAnsiTheme="minorEastAsia" w:cstheme="minorEastAsia"/>
          <w:sz w:val="28"/>
          <w:szCs w:val="28"/>
        </w:rPr>
      </w:pPr>
      <w:r>
        <w:rPr>
          <w:rFonts w:hint="eastAsia" w:ascii="仿宋_GB2312" w:eastAsia="仿宋_GB2312" w:hAnsiTheme="minorEastAsia" w:cstheme="minorEastAsia"/>
          <w:b/>
          <w:bCs/>
          <w:sz w:val="28"/>
          <w:szCs w:val="28"/>
        </w:rPr>
        <w:t xml:space="preserve">   （六）相关意见与建议</w:t>
      </w:r>
    </w:p>
    <w:p>
      <w:p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1.明确九大产业补助政策绩效目标</w:t>
      </w:r>
    </w:p>
    <w:p>
      <w:p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绩效目标是全面实施预算绩效管理的起点和基础,也是绩效评估和结果应用的前提和依据。在确定补助资金时应设定具体的绩效目标及要求，明确政策补助资金的使用方向、具体用途、补助程序、补助标准及验收考核办法等,充分发挥专项资金的引导和激励作用，以保证财政资金的使用效益。</w:t>
      </w:r>
    </w:p>
    <w:p>
      <w:pPr>
        <w:spacing w:line="360" w:lineRule="auto"/>
        <w:ind w:firstLine="560" w:firstLineChars="20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2.把好政策实施关，健全相关管理制度并严格按照制度执行</w:t>
      </w:r>
    </w:p>
    <w:p>
      <w:pPr>
        <w:spacing w:line="360" w:lineRule="auto"/>
        <w:ind w:firstLine="560" w:firstLineChars="200"/>
        <w:rPr>
          <w:rFonts w:hint="eastAsia" w:ascii="仿宋_GB2312" w:eastAsia="仿宋_GB2312" w:hAnsiTheme="minorEastAsia" w:cstheme="minorEastAsia"/>
          <w:sz w:val="28"/>
          <w:szCs w:val="28"/>
        </w:rPr>
      </w:pPr>
      <w:r>
        <w:rPr>
          <w:rFonts w:hint="eastAsia" w:ascii="仿宋_GB2312" w:hAnsi="宋体" w:eastAsia="仿宋_GB2312" w:cs="宋体"/>
          <w:sz w:val="28"/>
          <w:szCs w:val="28"/>
        </w:rPr>
        <w:t>（1）</w:t>
      </w:r>
      <w:r>
        <w:rPr>
          <w:rFonts w:hint="eastAsia" w:ascii="仿宋_GB2312" w:eastAsia="仿宋_GB2312" w:hAnsiTheme="minorEastAsia" w:cstheme="minorEastAsia"/>
          <w:sz w:val="28"/>
          <w:szCs w:val="28"/>
        </w:rPr>
        <w:t>完善专项资金补助政策，细化专项资金管理规定。针对生态精品现代农业工作实际情况，进一步完善专项资金管理办法，细化专项资金管理规定，</w:t>
      </w:r>
      <w:r>
        <w:rPr>
          <w:rFonts w:hint="eastAsia" w:ascii="仿宋_GB2312" w:hAnsi="宋体" w:eastAsia="仿宋_GB2312" w:cs="宋体"/>
          <w:sz w:val="28"/>
          <w:szCs w:val="28"/>
        </w:rPr>
        <w:t>加强部门协调沟通，</w:t>
      </w:r>
      <w:r>
        <w:rPr>
          <w:rFonts w:hint="eastAsia" w:ascii="仿宋_GB2312" w:eastAsia="仿宋_GB2312" w:hAnsiTheme="minorEastAsia" w:cstheme="minorEastAsia"/>
          <w:sz w:val="28"/>
          <w:szCs w:val="28"/>
        </w:rPr>
        <w:t>增强制度的可操作性和引导性。</w:t>
      </w:r>
    </w:p>
    <w:p>
      <w:pPr>
        <w:spacing w:line="360" w:lineRule="auto"/>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2）加快项目实施进度。建议项目主管单位根据项目资金管理办法和要求，及时组织开展项目申报及项目补助发放，加快资金拨付进度。县级财政部门、农业等主管部门及时沟通协调，对绩效目标实现程度和预算执行进度实行“双监控”，发现问题及时纠正，确保绩效目标如期保质保量实现。加强对补助项目的审核验收，完善对专项资金使用的监管。项目主管单位要完善项目审核验收程序，堵塞管理漏洞，严把验收关，规范专项资金的使用。对补助依据、申报资料、审核程序不规范的项目，应不予拨付扶持资金。</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3.加大政策资金整合力度</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建议理顺部门间的交叉职能，对农业补助资金进行梳理，包括生态精品九大产业与院校合作、农转旅项目的交叉重叠，进一步明确相关政策的支持方向和内容，促进财政资金更加合理有效配置，提高政策科学性和资金使用效益。</w:t>
      </w:r>
    </w:p>
    <w:p>
      <w:pPr>
        <w:spacing w:line="500" w:lineRule="exact"/>
        <w:rPr>
          <w:rFonts w:hint="eastAsia" w:ascii="仿宋_GB2312" w:hAnsi="宋体" w:eastAsia="仿宋_GB2312" w:cs="宋体"/>
          <w:sz w:val="28"/>
          <w:szCs w:val="28"/>
        </w:rPr>
      </w:pPr>
      <w:r>
        <w:rPr>
          <w:rFonts w:hint="eastAsia" w:ascii="仿宋_GB2312" w:hAnsi="宋体" w:eastAsia="仿宋_GB2312" w:cs="宋体"/>
          <w:sz w:val="28"/>
          <w:szCs w:val="28"/>
        </w:rPr>
        <w:t xml:space="preserve">    4.调整政策资金使用方向，打造特色之乡，助推区域特色精品农业发展</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调整专项资金的扶持导向，更好地发挥专项资金的引导激励作用。在做好、做深、做透丽水生态精品农产品之代表——处州十珍基础上，建议评选丽水地区各县（市、区）区域公共品牌或特色农产品，进一步加大对相关“企业+农户”创建农产品品牌的政策支持。九大产业补助要有方向性与针对性，资金不宜采用“撒胡椒面”的分配方法，重点向区域公共品牌及特色精品产品倾斜，打造特色之乡，助推区域特色精品农业发展。大力发展地理标志和证明商标生态精品农产品，以品牌为纽带对接产需，实现优势优质、优质优价。对补助项目应加强实地调研，结合实地情况，严格筛选扶持对象；针对县（市、区）对以奖代补有所顾虑，可以根据各县（市、区）经济发展特色，考虑各产业优势以及单位规模，有区别有差异的进行直接奖励性质的补助，可以制定相应条件，进行专家评比，简化程序，提高效率，使补助资金发挥更大作用。</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5.增加对九大产业涉农资金的信贷支持</w:t>
      </w:r>
    </w:p>
    <w:p>
      <w:pPr>
        <w:spacing w:line="50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相关部门可以先对涉及九大产业的农业经营主体的资金需求等情况进行</w:t>
      </w:r>
      <w:r>
        <w:rPr>
          <w:rFonts w:hint="eastAsia" w:ascii="仿宋_GB2312" w:hAnsi="宋体" w:eastAsia="仿宋_GB2312" w:cs="宋体"/>
          <w:color w:val="333333"/>
          <w:sz w:val="28"/>
          <w:szCs w:val="28"/>
        </w:rPr>
        <w:t>调</w:t>
      </w:r>
      <w:r>
        <w:rPr>
          <w:rFonts w:hint="eastAsia" w:ascii="仿宋_GB2312" w:hAnsi="宋体" w:eastAsia="仿宋_GB2312" w:cs="宋体"/>
          <w:sz w:val="28"/>
          <w:szCs w:val="28"/>
        </w:rPr>
        <w:t>查，根据中小农户各自需求特点，创新信贷产品，支持新型农业经营主体，支持新业态、促进农村一二三产业融合。同时可以结合精准扶贫，制定差异化信贷政策。如针对九大产业出台财政贴息政策，这样受惠的农业经营主体则更多，影响也更大，效益也会更明显，更好地变“要我做”为“我要做”，调动农业经营主体的积极性、主动性与创造性</w:t>
      </w:r>
      <w:r>
        <w:rPr>
          <w:rFonts w:hint="eastAsia" w:ascii="仿宋_GB2312" w:hAnsi="宋体" w:eastAsia="仿宋_GB2312" w:cs="宋体"/>
          <w:color w:val="404040"/>
          <w:sz w:val="28"/>
          <w:szCs w:val="28"/>
        </w:rPr>
        <w:t>，</w:t>
      </w:r>
      <w:r>
        <w:rPr>
          <w:rFonts w:hint="eastAsia" w:ascii="仿宋_GB2312" w:hAnsi="宋体" w:eastAsia="仿宋_GB2312" w:cs="宋体"/>
          <w:sz w:val="28"/>
          <w:szCs w:val="28"/>
        </w:rPr>
        <w:t>将财政补助与财政贴息政策结合，甚至考虑逐步降低财政补助资金投入比例，加大贷款贴息力度，扶持农业经营主体及龙头企业产业化发展。</w:t>
      </w:r>
    </w:p>
    <w:p>
      <w:pPr>
        <w:ind w:firstLine="560" w:firstLineChars="200"/>
        <w:jc w:val="left"/>
        <w:rPr>
          <w:rFonts w:hint="eastAsia" w:ascii="仿宋_GB2312" w:eastAsia="仿宋_GB2312" w:cs="仿宋_GB2312"/>
          <w:kern w:val="0"/>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w:t>
      </w:r>
      <w:r>
        <w:rPr>
          <w:rFonts w:hint="eastAsia" w:ascii="仿宋_GB2312" w:hAnsi="仿宋" w:eastAsia="仿宋_GB2312" w:cs="宋体"/>
          <w:kern w:val="0"/>
          <w:sz w:val="28"/>
          <w:szCs w:val="28"/>
          <w:lang w:eastAsia="zh-CN"/>
        </w:rPr>
        <w:t>普</w:t>
      </w:r>
      <w:r>
        <w:rPr>
          <w:rFonts w:hint="eastAsia" w:ascii="仿宋_GB2312" w:hAnsi="仿宋" w:eastAsia="仿宋_GB2312" w:cs="宋体"/>
          <w:kern w:val="0"/>
          <w:sz w:val="28"/>
          <w:szCs w:val="28"/>
        </w:rPr>
        <w:t>华会计师事务所有限公司</w:t>
      </w:r>
      <w:r>
        <w:rPr>
          <w:rFonts w:hint="eastAsia" w:ascii="仿宋_GB2312" w:eastAsia="仿宋_GB2312" w:cs="仿宋_GB2312"/>
          <w:kern w:val="0"/>
          <w:sz w:val="28"/>
          <w:szCs w:val="28"/>
        </w:rPr>
        <w:t>）</w:t>
      </w:r>
    </w:p>
    <w:p>
      <w:pPr>
        <w:ind w:firstLine="560" w:firstLineChars="200"/>
        <w:jc w:val="left"/>
        <w:rPr>
          <w:rFonts w:hint="eastAsia" w:ascii="仿宋_GB2312" w:eastAsia="仿宋_GB2312" w:cs="仿宋_GB2312"/>
          <w:kern w:val="0"/>
          <w:sz w:val="28"/>
          <w:szCs w:val="28"/>
        </w:rPr>
      </w:pPr>
    </w:p>
    <w:p>
      <w:pPr>
        <w:spacing w:line="480" w:lineRule="auto"/>
        <w:ind w:firstLine="522" w:firstLineChars="100"/>
        <w:jc w:val="center"/>
        <w:rPr>
          <w:rFonts w:hint="eastAsia" w:ascii="黑体" w:hAnsi="黑体" w:eastAsia="黑体"/>
          <w:sz w:val="72"/>
          <w:szCs w:val="72"/>
        </w:rPr>
      </w:pPr>
      <w:r>
        <w:rPr>
          <w:rFonts w:hint="eastAsia" w:ascii="黑体" w:hAnsi="黑体" w:eastAsia="黑体"/>
          <w:b/>
          <w:bCs/>
          <w:sz w:val="52"/>
          <w:szCs w:val="52"/>
        </w:rPr>
        <w:t>生态精品现代农业发展专项</w:t>
      </w:r>
      <w:r>
        <w:rPr>
          <w:rFonts w:hint="eastAsia" w:ascii="黑体" w:hAnsi="黑体" w:eastAsia="黑体" w:cs="黑体"/>
          <w:b/>
          <w:bCs/>
          <w:sz w:val="52"/>
          <w:szCs w:val="52"/>
        </w:rPr>
        <w:t>（</w:t>
      </w:r>
      <w:r>
        <w:rPr>
          <w:rFonts w:hint="eastAsia" w:ascii="黑体" w:hAnsi="黑体" w:eastAsia="黑体" w:cs="黑体"/>
          <w:b/>
          <w:bCs/>
          <w:kern w:val="0"/>
          <w:sz w:val="52"/>
          <w:szCs w:val="52"/>
        </w:rPr>
        <w:t>农产品转化为旅游地商品补助政策</w:t>
      </w:r>
      <w:r>
        <w:rPr>
          <w:rFonts w:hint="eastAsia" w:ascii="黑体" w:hAnsi="黑体" w:eastAsia="黑体" w:cs="黑体"/>
          <w:b/>
          <w:bCs/>
          <w:sz w:val="52"/>
          <w:szCs w:val="52"/>
        </w:rPr>
        <w:t>）</w:t>
      </w:r>
      <w:r>
        <w:rPr>
          <w:rFonts w:hint="eastAsia" w:ascii="黑体" w:hAnsi="黑体" w:eastAsia="黑体" w:cs="新宋体"/>
          <w:b/>
          <w:bCs/>
          <w:sz w:val="52"/>
          <w:szCs w:val="52"/>
        </w:rPr>
        <w:t>（2016-2018年）</w:t>
      </w:r>
    </w:p>
    <w:p>
      <w:pPr>
        <w:spacing w:line="480" w:lineRule="auto"/>
        <w:jc w:val="center"/>
        <w:rPr>
          <w:rFonts w:hint="eastAsia" w:ascii="仿宋_GB2312" w:hAnsi="宋体" w:eastAsia="仿宋_GB2312" w:cs="Times New Roman"/>
          <w:sz w:val="52"/>
          <w:szCs w:val="52"/>
        </w:rPr>
      </w:pPr>
    </w:p>
    <w:p>
      <w:pPr>
        <w:spacing w:line="480" w:lineRule="auto"/>
        <w:ind w:firstLine="360" w:firstLineChars="100"/>
        <w:jc w:val="left"/>
        <w:rPr>
          <w:rFonts w:hint="eastAsia" w:ascii="仿宋_GB2312" w:hAnsi="宋体" w:eastAsia="仿宋_GB2312" w:cs="Times New Roman"/>
          <w:sz w:val="36"/>
          <w:szCs w:val="36"/>
        </w:rPr>
      </w:pP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绩</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效</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评</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价</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报</w:t>
      </w:r>
    </w:p>
    <w:p>
      <w:pPr>
        <w:spacing w:line="480" w:lineRule="auto"/>
        <w:jc w:val="center"/>
        <w:rPr>
          <w:rFonts w:hint="eastAsia" w:ascii="仿宋_GB2312" w:hAnsi="宋体" w:eastAsia="仿宋_GB2312" w:cs="Times New Roman"/>
          <w:b/>
          <w:bCs w:val="0"/>
          <w:sz w:val="84"/>
          <w:szCs w:val="84"/>
        </w:rPr>
      </w:pPr>
      <w:r>
        <w:rPr>
          <w:rFonts w:hint="eastAsia" w:ascii="宋体" w:eastAsia="宋体" w:cs="宋体"/>
          <w:b/>
          <w:bCs w:val="0"/>
          <w:kern w:val="0"/>
          <w:sz w:val="84"/>
          <w:szCs w:val="84"/>
        </w:rPr>
        <w:t>告</w:t>
      </w:r>
    </w:p>
    <w:p>
      <w:pPr>
        <w:jc w:val="left"/>
        <w:rPr>
          <w:rFonts w:hint="eastAsia" w:ascii="仿宋_GB2312" w:eastAsia="仿宋_GB2312" w:hAnsiTheme="minorEastAsia"/>
          <w:b/>
          <w:bCs w:val="0"/>
          <w:sz w:val="84"/>
          <w:szCs w:val="84"/>
        </w:rPr>
      </w:pPr>
    </w:p>
    <w:p>
      <w:pPr>
        <w:jc w:val="left"/>
        <w:rPr>
          <w:rFonts w:hint="eastAsia" w:ascii="仿宋_GB2312" w:hAnsi="仿宋_GB2312" w:eastAsia="仿宋_GB2312" w:cs="仿宋_GB2312"/>
          <w:b/>
          <w:bCs w:val="0"/>
          <w:sz w:val="32"/>
          <w:szCs w:val="32"/>
        </w:rPr>
      </w:pPr>
    </w:p>
    <w:p>
      <w:pPr>
        <w:jc w:val="center"/>
        <w:rPr>
          <w:rFonts w:asciiTheme="minorEastAsia" w:hAnsiTheme="minorEastAsia"/>
          <w:b/>
          <w:sz w:val="44"/>
          <w:szCs w:val="44"/>
        </w:rPr>
      </w:pPr>
      <w:r>
        <w:rPr>
          <w:rFonts w:hint="eastAsia" w:asciiTheme="minorEastAsia" w:hAnsiTheme="minorEastAsia"/>
          <w:b/>
          <w:sz w:val="44"/>
          <w:szCs w:val="44"/>
        </w:rPr>
        <w:t>2016-2018年生态精品现代农业发展专项</w:t>
      </w:r>
    </w:p>
    <w:p>
      <w:pPr>
        <w:jc w:val="center"/>
        <w:rPr>
          <w:rFonts w:hint="eastAsia" w:asciiTheme="minorEastAsia" w:hAnsiTheme="minorEastAsia" w:eastAsiaTheme="minorEastAsia" w:cstheme="minorEastAsia"/>
          <w:b/>
          <w:bCs w:val="0"/>
          <w:kern w:val="0"/>
          <w:sz w:val="44"/>
          <w:szCs w:val="44"/>
        </w:rPr>
      </w:pPr>
      <w:r>
        <w:rPr>
          <w:rFonts w:hint="eastAsia" w:asciiTheme="minorEastAsia" w:hAnsiTheme="minorEastAsia" w:eastAsiaTheme="minorEastAsia" w:cstheme="minorEastAsia"/>
          <w:b/>
          <w:bCs w:val="0"/>
          <w:sz w:val="44"/>
          <w:szCs w:val="44"/>
        </w:rPr>
        <w:t>--</w:t>
      </w:r>
      <w:r>
        <w:rPr>
          <w:rFonts w:hint="eastAsia" w:asciiTheme="minorEastAsia" w:hAnsiTheme="minorEastAsia" w:eastAsiaTheme="minorEastAsia" w:cstheme="minorEastAsia"/>
          <w:b/>
          <w:bCs w:val="0"/>
          <w:kern w:val="0"/>
          <w:sz w:val="44"/>
          <w:szCs w:val="44"/>
        </w:rPr>
        <w:t>农产品转化为旅游地商品补助政策</w:t>
      </w:r>
    </w:p>
    <w:p>
      <w:pPr>
        <w:jc w:val="center"/>
        <w:rPr>
          <w:rFonts w:hint="eastAsia" w:asciiTheme="minorEastAsia" w:hAnsiTheme="minorEastAsia" w:eastAsiaTheme="minorEastAsia" w:cstheme="minorEastAsia"/>
          <w:b/>
          <w:bCs w:val="0"/>
          <w:kern w:val="0"/>
          <w:sz w:val="44"/>
          <w:szCs w:val="44"/>
        </w:rPr>
      </w:pPr>
    </w:p>
    <w:p>
      <w:pPr>
        <w:spacing w:line="500" w:lineRule="exact"/>
        <w:ind w:firstLine="840" w:firstLineChars="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深入贯彻《中共中央国务院关于全面实施预算绩效管理的意见》（中发﹝2018﹞34号）及《中共浙江省委浙江省人民政府关于全面落实预算绩效管理的实施意见》（浙委发﹝2018﹞71号）精神，进一步加强财政支出绩效管理，提高财政资金使用效益和效率，根据《中共丽水市委 丽水市人民政府关于全面实施预算绩效管理的若干意见》（丽委发〔2019〕24号）和《丽水市财政局关于开展2019年市直财政重点绩效评价工作的通知》(丽财监督〔2019〕99号）的要求，浙江普华会计师事务所有限公司接受丽水市财政局委托，对2016-2018年丽水市生态精品现代农业发展专项-农产品转化为旅游地商品补助政策实施绩效评价。</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绩效评价工作开展的目的在于：评价项目的目标设定情况、目标完成情况、项目组织管理水平、项目实施效益和财务管理等情况，通过评价，深入了解政策实施的绩效及存在的问题，在此基础上提出完善政策及资金管理的对策和建议，为后续政策调整完善和加强资金管理提供决策依据。</w:t>
      </w:r>
    </w:p>
    <w:p>
      <w:pPr>
        <w:spacing w:line="560" w:lineRule="exact"/>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（一）项目基本概况</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1.项目计划</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推动农旅深度融合，加快丽水市生态精品农业规模化、标准化、品牌化发展，推进绿色发展、生态惠民、三美（美丽环境、美丽经济、美好生活）融合，2016年7月，中共丽水市委办公室、丽水市人民政府办公室特制定了《丽水市加快推进农产品转化为旅游地商品三年行动计划》（丽委办发（2016）49号），旨在发挥生态优势和地方特色，以农产品质量安全可追溯体系建设为保障，以培育壮大各类生产经营主体为核心，深入挖掘农耕文化特色，将丽水生态精品农产品转化旅游地商品，推进农旅深度融合，走出一条产出高效、产品安全、市场欢迎、资源节约、环境友好的生态精品现代农业发展道路。</w:t>
      </w:r>
    </w:p>
    <w:p>
      <w:pPr>
        <w:spacing w:line="500" w:lineRule="exact"/>
        <w:ind w:firstLine="560" w:firstLineChars="200"/>
        <w:rPr>
          <w:rFonts w:hint="eastAsia" w:ascii="仿宋_GB2312" w:hAnsi="仿宋_GB2312" w:eastAsia="仿宋_GB2312" w:cs="仿宋_GB2312"/>
          <w:sz w:val="28"/>
          <w:szCs w:val="28"/>
          <w:vertAlign w:val="superscript"/>
        </w:rPr>
      </w:pPr>
      <w:r>
        <w:rPr>
          <w:rFonts w:hint="eastAsia" w:ascii="仿宋_GB2312" w:hAnsi="仿宋_GB2312" w:eastAsia="仿宋_GB2312" w:cs="仿宋_GB2312"/>
          <w:sz w:val="28"/>
          <w:szCs w:val="28"/>
        </w:rPr>
        <w:t>针对丽水市农业生产主体比较弱小、没有能力自建品牌，以及山区农业产业集聚度较低、创建单品类品牌不足以带动全域农业发展的现状，决定由政府创建全区域、全品类、全产业链、体现山区农业特征的“丽水山耕”统一品牌。“丽水山耕”品牌建设在政府的支持下，采取统一标准、统一运营、统一传播的方式，吸引生产主体加盟，通过统一地方特色品牌的打造，降低生产主体进入市场的成本和风险，提升丽水市生态产品的溢价空间。</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2．主要目标</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2016年，全市新培育农产品旅游地商品生产经营主体和转化农产品旅游地商品各200个，农产品旅游地商品销售收入占农业一产收入比重达10%，其中“丽水山耕”合作主体100个、实现销售额5亿元；市级以上农业主体（含农业龙头企业，农民专业合作社、家族农场）质量安全追溯覆盖面达60%。</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全市累计培育农产品旅游地商品生产经营主体和转化农产品旅游地商品各400个，农产品旅游地商品销售收入占农业一产收入比重达15%，其中“丽水山耕”合作主体150个、实现销售额8亿元，市级以上农业主体质量安全追溯覆盖面达80%。</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2018年，全市累计培育农产品旅游地商品生产经营主体和转化农产品旅游地商品各600个，农产品旅游地商品销售收入占农业一产收入比重达20%，其中“丽水山耕”合作生体200个、实现销售额15亿元，建成2个四星级以上旅游地商品购物点、10个商业街区和A级旅游购物景区；市级以上农业主体农产品电子商务普及率达90%；新增“三品一标”农产品200个，市级以上农业主体质量安全追溯覆盖面达98%；促进农民人均可支配收入达到2万元。</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项目执行</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为推进农产品旅游地商品转化工作顺利开展，中共丽水市委办公室成立了市推进农产品旅游地商品转化工作协调小组。</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项目实施内容：（1）申报、认定市级农产品旅游地商品生产经营主体。（2）申报认定农产品旅游地商品。（3）申报、认定市级农产品旅游地商品购物网点。                  </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（1）项目实施和资金使用情况</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由丽水市农业农村局组织，丽水市农业投资发展有限公司、市农科院、市农作物站、市供销社、市市场监管局、市旅委、市水利局、市林业局配合实施，2016-2018年，市财政每年安排1000万元专项经费，其中丽水市农业投资发展有限公司每年500万元，丽水市推进农产品旅游地商品转化工作协调小组办公室每年150万元，原市农业局农作物站每年20万元，丽水市农科院每年50万元，丽水市供销社每年50万元，丽水市市场监管局每年20万元，原丽水市旅委2016年100万元、2017年100万元，2018年80万元，丽水市水利局2018年10万元，丽水市林业局2018年10万元，各县（市、区）年终考核奖每年110万元。具体情况详见附件1：补助项目实施和资金情况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县（市、区）每年根据具体情况分别实施农产品转化为旅游地商品工作，由县（市、区）农业农村局牵头，其他部门配合实施。各县（市、区）根据每年具体情况分别计划安排农转旅专项补助资金，与市农业农村局的农产品转化为旅游地商品资金共同促进全市农产品转化为旅游地商品工作。</w:t>
      </w:r>
    </w:p>
    <w:p>
      <w:pPr>
        <w:spacing w:line="560" w:lineRule="exact"/>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（2）项目指标完成情况</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农业农村局每年对全市整体的农产品转化为旅游地商品绩效目标进行统计，除未统计指标外都已达到预期目标，新培育主体累计数701个，农产品旅游地商品转换累计1099个，累计营销额100.4781亿元（统计数据不准确问题详见-评价发现的问题第3点），新增“三品”认证产品376个，新建网点累计数315个（各年统计数据详见附件2：农产品旅游地商品转化工作指标进度表）。以丽水市农业投资发展有限公司为龙头的“丽水山耕”品牌建设为农产品转化为旅游地商品的重要工作组成部分，“丽水山耕”品牌建设情况详见附件3：“丽水山耕”品牌建设工作指标进度表。</w:t>
      </w:r>
    </w:p>
    <w:p>
      <w:pPr>
        <w:spacing w:line="560" w:lineRule="exact"/>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（二）实地检查及问卷情况</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根据《绩效评价实施方案》，本次实地检查时共抽查了全市24个项目，其中 丽水市农业投资发展有限公司3个项目，缙云县3个项目，青田县3个项目，景宁2个项目，云和县2个项目，庆元县3个项目，龙泉市3个项目，松阳县2个项目，遂昌县3个项目。（详见附件4：实地调查明细表）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府管理人员（问卷一）实地调查问卷19份，电子问卷8份，共27份，调查问卷结果显示，对政策是否符合当地经济社会发展需要：70%表示符合，30%表示较符合；对区域经济发展的推动作用：40%作用非常大，40%作用比较大，20%有一定作用；对政策的总体评价：33%很满意，63%较满意，4%不太满意。部分受调查人员表示对专业人才培育、扶持的精准度，有待加强，销售立足于本地化基础。（详见附件5：问卷调查统计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相关方（问卷二）实地调查问卷26份，电话问卷14份（其中有6人不配合问卷调查，问卷未填完整），共40份。调查问卷结果显示，项目实施相关方满意度：17%很满意，52%较满意，13%不太满意，3%不满意，15%不接受调查；对政策的了解程度：5%非常了解，57%基本了解，16%了解不多，10%不了解，12%不接受调查；对单位经济效益影响调查：8%很大，40%较大，32%一般，5%不明显，15%不接受调查。部分受调查人员提出了一些要求如下：（1）小企业很难达到准入要求，需要大量投入；（2）希望有兔子这种小众养殖方面的政策倾斜；（3）希望基础设备方面加大扶持；（4）市场营销环境上下功夫，建立集散中心、稳定价格，不要让小商贩压低收购价；（5）包装上进一步加强，以促进销售；（6）产品销售应该让市级负责对接，而不是让企业对接各个门店；（7）政府给予土地的指标政策，才能给农业主体更大的发挥空间；（8）申报资金及时兑现。详见附件5：问卷调查统计表。</w:t>
      </w:r>
    </w:p>
    <w:p>
      <w:pPr>
        <w:spacing w:line="560" w:lineRule="exact"/>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（三）政策评价结论</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评价小组通过查阅资料、询问查证、抽查会计凭证、现场核实、问卷调查等方式，共实地核实26处，查看相关企业情况，了解对补助政策的满意度，做现场调查问卷。深入各有关单位组织实施绩效评价工作，在全面了解和掌握情况的基础上，对项目进行以下评价：</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1.政策相关性一般，得分7分。政策目标不够明确，与其他政策类似、重叠，政策目标不够合理，科学性待加强。</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 政策效率性低，得分4.5分。该政策资金管理效率不够高，政策与政策要求的符合度低，管理制度不够完善，管理效率不够高。</w:t>
      </w:r>
    </w:p>
    <w:p>
      <w:pPr>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 政策有效性一般，得分6.5分。该政策对区域效益推动作用一般，相关人员对政策有效性评价不够高。   </w:t>
      </w:r>
    </w:p>
    <w:p>
      <w:pPr>
        <w:spacing w:line="50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（四）政策绩效</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1.调整产业结构，推进农产品转化为旅游地商品</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育农产品旅游地商品生产经营主体，支持农业主体生产经营旅游地商品，带动优秀农业主体进入农产品旅游地商品行业，打造有丽水地域特色的农产品旅游地商品，共培育农业主体701个，农产品旅游地商品转换1099个。</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发挥“丽水山耕”品牌主体作用，充分发挥丽水农业、旅游等行业协会，以及市农发公司等组织在品牌管理、产品设计、渠道拓展、营销推介方面的行业制约和龙头引领作用，培育“丽水山耕”品牌系列的农产品旅游地商品生产经营主体，共培育“丽水山耕”合作主体264家，新建“丽水山耕”合作基地1122个。</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如：评价小组实地查看的景宁畲土丰家庭农场，是“丽水山耕”合作主体，参与到旅游地商品转化生产主体后，促进了农场销售额提高与知名度扩大。</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2.提高农产品质量安全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通过农产品质量安全建设，建立规模以上农业主体信息库，推动农产品 “生产有记录、流向可追踪、质量可追溯、责任可追究”的溯源管理。规范品牌使用标准，发挥“丽水山耕”品牌标准示范作用，加强农产品质量安全体系建设，加大无公害、绿色食品、有机农产品和地理标志产品认证力度。新增“食品生产许可”认证农产品255个，新增“三品”认证产品376个。评价小组实地查看了缙云阿贤农庄的蜂蜜产品，扫描包装上的二维码即可查到相关产品的生产过程，让购买者了解产品的相关生产情况，对产品质量放心。</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3.以产品差异化为发展途径，突出农产品特征</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进农产品旅游地商品创新创意开发，推动创意设计地方特色系列包装，设计代表各地风格特色的农产品旅游地商品系列包装，“丽水山耕”合作开发包装设计693个，召开品牌建设和包装开发设计培训会359期，举办包装设计作品征集大赛19次。评价小组实地查看的遂昌利星农来发展有限公司，公司的云裳百合在专项政策的扶持下，新设计了产品包装，提升了产品档次。</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发挥“丽水山耕”品牌龙头作用，大力推进高山蔬菜、山茶油、笋竹等丽水特色农产品区域品牌建设，新建海拔600米以上绿色有机农产品基地36.3万亩。如：评价小组实地查看缙云石上菊薯茶专业合作社，参与600米以上有机农产品基地项目，生产的缙云黄茶、仙都笋峰是具有高山区域特点的茶产品。</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4.多方拓展销售渠道，完善销售体系，推动产业发展</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立完善网点布局，在景区景点、休闲农业观光区等地点设立农产品旅游地商品购物点，新建网点累计数315个。如：实地查看的丽水市金知了电子商务有限公司，是新建的农产品旅游地商品购物点新建网点，对各县产品按地理细分进行展示销售。</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推进电商化营销，在推进农产品旅游地商品营销网店建设时，同步建立电子商务销售渠道，不断拓展农产品的市场销售途径和渠道。举行“丽水山耕”农产品推介会23场，充分发挥展会平台营销宣传作用。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加大新闻媒体宣传推广力度，加强媒体广告宣传，提高丽水生态精品农产品旅游地商品的知名度、美誉度，以及市场影响力和竞争力。举办旅游地商品擂台大赛11次，报送信息数1773篇，录用信息数213篇。</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山耕”农产品市场销售取得了一定成绩，进商超、入民宿、入驻推介会，在八大城市有230余家“丽水山耕”产品销售体验点，登陆丽水近万家电子商务网店，形成了线上线下销售体系。开发了丽水山耕营销小程序等新的销售渠道，以促进销售。</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5.推动农产品母子公共品牌运作，提高知名度和附加值，增加农民收入</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加强区域品牌融合，通过“丽水山耕”母子品牌运作方式，整合区域农产品旅游地商品生产经营主体、品牌、产品、渠道等各资源，扩大 “丽水山耕”公共品牌的影响力，提升销售收入，增加农民收入。新增农产品商标1061个，新增参与“丽水山耕”母子品牌运作商标580个，新培育“丽水山耕”品牌认证产品55个，新培育“丽水山耕”背书产品1032个。</w:t>
      </w:r>
    </w:p>
    <w:p>
      <w:pPr>
        <w:spacing w:line="560" w:lineRule="exact"/>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（五）评价发现的问题</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1.管理部门履职不到位</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（1）资料不完整</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主要实施单位-丽水市推进农产品旅游地商品转化工作协调小组办公室未能提供项目实施及考核过程、申报要求及审批程序、考核标准等的相关资料文件，项目统计结果的文件不全；除丽水市农业投资发展有限公司外，其它项目资金使用情况原始资料均未能提供。</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（2）资金使用不到位</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2016年与2017年共下拨给市旅委项目资金200万元均未使用。</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（3）监管不到位</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相关主管部门未对政策项目资金进行事前、事中和事后全过程的监督管理，与《关于印发丽水市生态精品现代农业发展资金管理办法的通知》（丽财农〔2013〕346号）第十四条 “县（市、区）级财政部门和主管部门要加强对生态精品现代农业发展资金使用的事前、事中和事后全过程监督管理，定期对生态精品农业发展资金的使用情况进行总结分析，并报上级有关部门”的规定不符。</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2.项目考核工作实施不到位，部分政策目标未进行考核</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《丽水市加快推进农产品转化为旅游地商品实施方案》（丽农转办〔2016〕1号）第四点实施进度中计划了各年度的指标任务，其中： 2016年有6个项目、2017年有4个项目、2018年4个项目任务在各县（市、区）农产品转化为旅游地商品工作完成情况进度表中未进行统计，也未能提供相关考核资料。</w:t>
      </w:r>
    </w:p>
    <w:p>
      <w:pPr>
        <w:spacing w:line="560" w:lineRule="exact"/>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3.项目制定不够完善，重要指标目标定义不明确、统计结果可靠性差。</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农产品旅游地商品转化年销售额、“丽水山耕”农产品年销售额统计口径不明确，统计数据中包含丽水市生态精品现代农业发展专项政策的其他两个政策的部分成果。实地检查发现各主体农产品旅游地商品转化年销售额、“丽水山耕”农产品年销售额实际均与上报有差异，数据准确性不高。</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4.部分政策资金管理不到位，实施效率不高</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财政局每年拨付给丽水市农业投资发展有限公司500万元的项目政策资金，丽水市农业局及丽水市推进农产品旅游地商品转化工作协调小组办公室未明确对该资金使用的要求及要达到的目标，也未有考核验收等资料，对丽水市农业投资发展有限公司实际使用时也无设定具体目标，绩效不明确。丽水市农业投资发展有限公司归集到项目的费用依据不充分，如2018年484,217.53 元工资， 2018年2月52#凭证中23,960.00元的会议费，后附原始凭证未能显示上述费用为项目专项支出。</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实地查看时，丽水市农业投资发展有限公司为政策项目购置的20台（共1,086,800.00元）智能售货机，因机器质量问题存在纠纷，设备暂停使用（合同尾款80,000.00元已停止支付，公司将通过法律途径解决）。</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5.“丽水山耕”品牌规范化管理体系不够完善，质量安全追溯管理系统难以保证</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丽水山耕"建设和管理通用要求》，“丽水山耕”体现丽水农产品的“生态环境良好、全程管理追溯、农耕文化传承”，符合“三品一标”要求。但在实际调查时，发现部分生产经营主体积极性不高，甚至不太清楚具体操作及要求，如：浙江紫晟生物科技有限公司、庆元齐圣水干果专业合作社。也有部分生产经营主体表示，“丽水山耕”的龙头企业丽水市农业投资发展有限公司对其帮助有限，对企业（农户）收入促进作用不大，示范、引导作用不显著，在带动农户发展专业化以及提高农业集聚化方面不显著。</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入“丽水山耕”品牌有一定门槛，要求企业在丽水市范围内，并且纳入质量安全追溯管理系统，通过相应的检验检测，在仓储能力和储运条件上达到要求且包装应用合格才允许使用“丽水山耕”品牌。小型企业（或个体户）因企业规模小、生产能力弱，加入“丽水山耕”品牌的标签粘贴，工作繁琐，对部分小企业（或个体户）来说难以适用；出现了部分“丽水山耕”品牌的商品无质量安全追溯二维码，或扫描产品上追溯二维码时，追溯信息无法显示等情况。</w:t>
      </w:r>
    </w:p>
    <w:p>
      <w:pPr>
        <w:spacing w:line="560" w:lineRule="exact"/>
        <w:ind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（六）相关意见与建议</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1.把好政策实施关，健全相关管理制度并严格按照制度执行</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出台具体的文件，规范实施过程、监管过程、考核程序等，并明确规定相应的责任，对未履职到位的部门和人员进行问责。绩效评价工作是政策实施考核的重要环节，主管部门应更加重视，要加强各部门协调沟通，相互配合，避免出现因各部门协调不畅，使绩效评价工作受限的情况发生。 </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2.加强考核工作，明确政策绩效</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要结合实际科学、合理制定政策的考核目标，政策制定的所有目标进行考核，目标要具有可操作性，且要符合各县（市、区）的实际情况，目标具体的数量或金额应经过科学的测算进行确定，确保目标能进行考核，不应简单化确定，对考核的目标应有相应的追溯核查要求。</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3.对绩效目标进行明确化、具体化，保证统计数据的可靠性</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农产品旅游地商品转化年销售额、“丽水山耕”农产品年销售额的统计口径以文件形式进行统一，项目计划和指标按各县（市、区）的实际情况制定。主管部门对各县（市、区）的指标完成情况应进行实地核查，并做好相关资料收集、台账整理等基础性工作，加强对项目的规范管理。各县（市、区）上报的完成指标额，要实事求是，真实可靠，要保存相关的依据，并按各个产业分别统计数据，提高数据的准确性、可比性和可利用性。对农产品旅游地商品转化年销售额、“丽水山耕”农产品年销售额进行总额统计，主要是一个横向或纵向的比较，而区分不同产业的销售金额，可以了解不同产业发展的现状，分析制约因素，进行分类施策地发展产业。</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4.提高对项目的管理效率，出台补助丽水市农业投资发展有限公司的政策要求</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加强对丽水市农业投资发展有限公司财政补助项目的预算绩效管理，对该补助应设定绩效目标，并</w:t>
      </w:r>
      <w:r>
        <w:rPr>
          <w:rFonts w:hint="eastAsia" w:ascii="仿宋_GB2312" w:hAnsi="仿宋_GB2312" w:eastAsia="仿宋_GB2312" w:cs="仿宋_GB2312"/>
          <w:sz w:val="28"/>
          <w:szCs w:val="28"/>
          <w:lang w:eastAsia="zh-CN"/>
        </w:rPr>
        <w:t>签订合同</w:t>
      </w:r>
      <w:r>
        <w:rPr>
          <w:rFonts w:hint="eastAsia" w:ascii="仿宋_GB2312" w:hAnsi="仿宋_GB2312" w:eastAsia="仿宋_GB2312" w:cs="仿宋_GB2312"/>
          <w:sz w:val="28"/>
          <w:szCs w:val="28"/>
        </w:rPr>
        <w:t>，明确相关要求及具体指标，并对财政补助项目在执行过程进行监督管理，考核其实际使用的效果。</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丽水市农业投资发展有限公司与销售企业加强沟通，针对不同县（市、区）或不同行业，考虑对需要大力支持的产品进行协议价收购，充分调动中小农户的积极性。</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5.对“丽水山耕”品牌规范化管理体系进行健全及完善</w:t>
      </w:r>
    </w:p>
    <w:p>
      <w:pPr>
        <w:spacing w:line="500" w:lineRule="exact"/>
        <w:ind w:firstLine="48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议出台相关管理办法及细则，制定《“丽水山耕”品牌管理办法》，对产品的质量安全、品牌的规范化使用等的管理进行规范，并对使用的质量标准，申请认证的要求、程序、监督、处罚等细化具体的操作流程，避免出现农产品贴着“丽水生态精品农产品质量追溯”标签，扫描不出相关信息情况。</w:t>
      </w:r>
    </w:p>
    <w:p>
      <w:pPr>
        <w:spacing w:line="560" w:lineRule="exact"/>
        <w:ind w:firstLine="560" w:firstLineChars="200"/>
        <w:outlineLvl w:val="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中小企业尤其是合作社及农户，由丽水市农业投资发展有限公司或行业协会牵头，在农产品销售及质量安全追溯管理系统等方面提供更有效的培训、指导，如协商包销部分农产品，使得“丽水山耕”的品牌发挥更大的社会与经济效益，并确保农产品“舌尖上的安全”。</w:t>
      </w:r>
    </w:p>
    <w:p>
      <w:pPr>
        <w:spacing w:line="560" w:lineRule="exact"/>
        <w:ind w:firstLine="560" w:firstLineChars="200"/>
        <w:outlineLvl w:val="0"/>
        <w:rPr>
          <w:rFonts w:hint="eastAsia" w:ascii="仿宋_GB2312" w:hAnsi="仿宋_GB2312" w:eastAsia="仿宋_GB2312" w:cs="仿宋_GB2312"/>
          <w:sz w:val="28"/>
          <w:szCs w:val="28"/>
        </w:rPr>
      </w:pPr>
    </w:p>
    <w:p>
      <w:pPr>
        <w:spacing w:line="560" w:lineRule="exact"/>
        <w:ind w:firstLine="560" w:firstLineChars="200"/>
        <w:outlineLvl w:val="0"/>
        <w:rPr>
          <w:rFonts w:hint="eastAsia" w:ascii="仿宋_GB2312" w:hAnsi="仿宋_GB2312" w:eastAsia="仿宋_GB2312" w:cs="仿宋_GB2312"/>
          <w:sz w:val="28"/>
          <w:szCs w:val="28"/>
        </w:rPr>
      </w:pPr>
    </w:p>
    <w:p>
      <w:pPr>
        <w:ind w:firstLine="280" w:firstLineChars="100"/>
        <w:jc w:val="left"/>
        <w:rPr>
          <w:rFonts w:hint="eastAsia" w:ascii="仿宋_GB2312" w:eastAsia="仿宋_GB2312" w:cs="仿宋_GB2312"/>
          <w:kern w:val="0"/>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w:t>
      </w:r>
      <w:r>
        <w:rPr>
          <w:rFonts w:hint="eastAsia" w:ascii="仿宋_GB2312" w:hAnsi="仿宋" w:eastAsia="仿宋_GB2312" w:cs="宋体"/>
          <w:kern w:val="0"/>
          <w:sz w:val="28"/>
          <w:szCs w:val="28"/>
          <w:lang w:eastAsia="zh-CN"/>
        </w:rPr>
        <w:t>普</w:t>
      </w:r>
      <w:r>
        <w:rPr>
          <w:rFonts w:hint="eastAsia" w:ascii="仿宋_GB2312" w:hAnsi="仿宋" w:eastAsia="仿宋_GB2312" w:cs="宋体"/>
          <w:kern w:val="0"/>
          <w:sz w:val="28"/>
          <w:szCs w:val="28"/>
        </w:rPr>
        <w:t>华会计师事务所有限公司</w:t>
      </w:r>
      <w:r>
        <w:rPr>
          <w:rFonts w:hint="eastAsia" w:ascii="仿宋_GB2312" w:eastAsia="仿宋_GB2312" w:cs="仿宋_GB2312"/>
          <w:kern w:val="0"/>
          <w:sz w:val="28"/>
          <w:szCs w:val="28"/>
        </w:rPr>
        <w:t>）</w:t>
      </w:r>
    </w:p>
    <w:p>
      <w:pPr>
        <w:ind w:firstLine="280" w:firstLineChars="100"/>
        <w:jc w:val="left"/>
        <w:rPr>
          <w:rFonts w:hint="eastAsia" w:ascii="仿宋_GB2312" w:eastAsia="仿宋_GB2312" w:cs="仿宋_GB2312"/>
          <w:kern w:val="0"/>
          <w:sz w:val="28"/>
          <w:szCs w:val="28"/>
        </w:rPr>
      </w:pPr>
    </w:p>
    <w:p>
      <w:pPr>
        <w:ind w:firstLine="280" w:firstLineChars="100"/>
        <w:jc w:val="left"/>
        <w:rPr>
          <w:rFonts w:hint="eastAsia" w:ascii="仿宋_GB2312" w:eastAsia="仿宋_GB2312" w:cs="仿宋_GB2312"/>
          <w:kern w:val="0"/>
          <w:sz w:val="28"/>
          <w:szCs w:val="28"/>
        </w:rPr>
      </w:pPr>
    </w:p>
    <w:p>
      <w:pPr>
        <w:ind w:firstLine="280" w:firstLineChars="100"/>
        <w:jc w:val="left"/>
        <w:rPr>
          <w:rFonts w:hint="eastAsia" w:ascii="仿宋_GB2312" w:eastAsia="仿宋_GB2312" w:cs="仿宋_GB2312"/>
          <w:kern w:val="0"/>
          <w:sz w:val="28"/>
          <w:szCs w:val="28"/>
        </w:rPr>
      </w:pPr>
    </w:p>
    <w:p>
      <w:pPr>
        <w:ind w:firstLine="280" w:firstLineChars="100"/>
        <w:jc w:val="left"/>
        <w:rPr>
          <w:rFonts w:hint="eastAsia" w:ascii="仿宋_GB2312" w:eastAsia="仿宋_GB2312" w:cs="仿宋_GB2312"/>
          <w:kern w:val="0"/>
          <w:sz w:val="28"/>
          <w:szCs w:val="28"/>
        </w:rPr>
      </w:pPr>
    </w:p>
    <w:p>
      <w:pPr>
        <w:ind w:firstLine="280" w:firstLineChars="100"/>
        <w:jc w:val="left"/>
        <w:rPr>
          <w:rFonts w:hint="eastAsia" w:ascii="仿宋_GB2312" w:eastAsia="仿宋_GB2312" w:cs="仿宋_GB2312"/>
          <w:kern w:val="0"/>
          <w:sz w:val="28"/>
          <w:szCs w:val="28"/>
        </w:rPr>
      </w:pPr>
    </w:p>
    <w:p>
      <w:pPr>
        <w:ind w:firstLine="280" w:firstLineChars="100"/>
        <w:jc w:val="left"/>
        <w:rPr>
          <w:rFonts w:hint="eastAsia" w:ascii="仿宋_GB2312" w:eastAsia="仿宋_GB2312" w:cs="仿宋_GB2312"/>
          <w:kern w:val="0"/>
          <w:sz w:val="28"/>
          <w:szCs w:val="28"/>
        </w:rPr>
      </w:pPr>
    </w:p>
    <w:p>
      <w:pPr>
        <w:spacing w:line="480" w:lineRule="auto"/>
        <w:ind w:firstLine="522" w:firstLineChars="100"/>
        <w:jc w:val="center"/>
        <w:rPr>
          <w:rFonts w:hint="eastAsia" w:ascii="黑体" w:hAnsi="黑体" w:eastAsia="黑体"/>
          <w:b/>
          <w:bCs/>
          <w:sz w:val="52"/>
          <w:szCs w:val="52"/>
        </w:rPr>
      </w:pPr>
      <w:r>
        <w:rPr>
          <w:rFonts w:hint="eastAsia" w:ascii="黑体" w:hAnsi="黑体" w:eastAsia="黑体"/>
          <w:b/>
          <w:bCs/>
          <w:sz w:val="52"/>
          <w:szCs w:val="52"/>
        </w:rPr>
        <w:t>生态精品现代农业发展专项</w:t>
      </w:r>
    </w:p>
    <w:p>
      <w:pPr>
        <w:spacing w:line="480" w:lineRule="auto"/>
        <w:ind w:firstLine="522" w:firstLineChars="100"/>
        <w:jc w:val="center"/>
        <w:rPr>
          <w:rFonts w:hint="eastAsia" w:ascii="黑体" w:hAnsi="黑体" w:eastAsia="黑体" w:cs="新宋体"/>
          <w:b/>
          <w:bCs/>
          <w:sz w:val="52"/>
          <w:szCs w:val="52"/>
        </w:rPr>
      </w:pPr>
      <w:r>
        <w:rPr>
          <w:rFonts w:hint="eastAsia" w:ascii="黑体" w:hAnsi="黑体" w:eastAsia="黑体"/>
          <w:b/>
          <w:bCs/>
          <w:sz w:val="52"/>
          <w:szCs w:val="52"/>
        </w:rPr>
        <w:t>（</w:t>
      </w:r>
      <w:r>
        <w:rPr>
          <w:rFonts w:hint="eastAsia" w:ascii="黑体" w:hAnsi="黑体" w:eastAsia="黑体" w:cs="黑体"/>
          <w:b/>
          <w:bCs/>
          <w:kern w:val="0"/>
          <w:sz w:val="52"/>
          <w:szCs w:val="52"/>
        </w:rPr>
        <w:t>院校合作补助政策</w:t>
      </w:r>
      <w:r>
        <w:rPr>
          <w:rFonts w:hint="eastAsia" w:ascii="黑体" w:hAnsi="黑体" w:eastAsia="黑体"/>
          <w:b/>
          <w:bCs/>
          <w:sz w:val="52"/>
          <w:szCs w:val="52"/>
        </w:rPr>
        <w:t>）</w:t>
      </w:r>
    </w:p>
    <w:p>
      <w:pPr>
        <w:spacing w:line="480" w:lineRule="auto"/>
        <w:ind w:firstLine="522" w:firstLineChars="100"/>
        <w:jc w:val="center"/>
        <w:rPr>
          <w:rFonts w:hint="eastAsia" w:ascii="黑体" w:hAnsi="黑体" w:eastAsia="黑体" w:cs="新宋体"/>
          <w:b/>
          <w:bCs/>
          <w:sz w:val="52"/>
          <w:szCs w:val="52"/>
        </w:rPr>
      </w:pPr>
      <w:r>
        <w:rPr>
          <w:rFonts w:hint="eastAsia" w:ascii="黑体" w:hAnsi="黑体" w:eastAsia="黑体" w:cs="新宋体"/>
          <w:b/>
          <w:bCs/>
          <w:sz w:val="52"/>
          <w:szCs w:val="52"/>
        </w:rPr>
        <w:t>（2016-2018年）</w:t>
      </w:r>
    </w:p>
    <w:p>
      <w:pPr>
        <w:spacing w:line="480" w:lineRule="auto"/>
        <w:jc w:val="both"/>
        <w:rPr>
          <w:rFonts w:hint="eastAsia" w:ascii="黑体" w:hAnsi="黑体" w:eastAsia="黑体" w:cs="新宋体"/>
          <w:b/>
          <w:bCs/>
          <w:sz w:val="52"/>
          <w:szCs w:val="52"/>
        </w:rPr>
      </w:pP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绩</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效</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评</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价</w:t>
      </w:r>
    </w:p>
    <w:p>
      <w:pPr>
        <w:autoSpaceDE w:val="0"/>
        <w:autoSpaceDN w:val="0"/>
        <w:adjustRightInd w:val="0"/>
        <w:jc w:val="center"/>
        <w:rPr>
          <w:rFonts w:hint="eastAsia" w:ascii="宋体" w:eastAsia="宋体" w:cs="宋体"/>
          <w:b/>
          <w:bCs w:val="0"/>
          <w:kern w:val="0"/>
          <w:sz w:val="84"/>
          <w:szCs w:val="84"/>
        </w:rPr>
      </w:pPr>
      <w:r>
        <w:rPr>
          <w:rFonts w:hint="eastAsia" w:ascii="宋体" w:eastAsia="宋体" w:cs="宋体"/>
          <w:b/>
          <w:bCs w:val="0"/>
          <w:kern w:val="0"/>
          <w:sz w:val="84"/>
          <w:szCs w:val="84"/>
        </w:rPr>
        <w:t>报</w:t>
      </w:r>
    </w:p>
    <w:p>
      <w:pPr>
        <w:spacing w:line="480" w:lineRule="auto"/>
        <w:jc w:val="center"/>
        <w:rPr>
          <w:rFonts w:hint="eastAsia" w:ascii="仿宋_GB2312" w:hAnsi="宋体" w:eastAsia="仿宋_GB2312" w:cs="Times New Roman"/>
          <w:b/>
          <w:bCs w:val="0"/>
          <w:sz w:val="84"/>
          <w:szCs w:val="84"/>
        </w:rPr>
      </w:pPr>
      <w:r>
        <w:rPr>
          <w:rFonts w:hint="eastAsia" w:ascii="宋体" w:eastAsia="宋体" w:cs="宋体"/>
          <w:b/>
          <w:bCs w:val="0"/>
          <w:kern w:val="0"/>
          <w:sz w:val="84"/>
          <w:szCs w:val="84"/>
        </w:rPr>
        <w:t>告</w:t>
      </w: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center"/>
        <w:rPr>
          <w:rFonts w:asciiTheme="minorEastAsia" w:hAnsiTheme="minorEastAsia"/>
          <w:b/>
          <w:sz w:val="44"/>
          <w:szCs w:val="44"/>
        </w:rPr>
      </w:pPr>
      <w:r>
        <w:rPr>
          <w:rFonts w:hint="eastAsia" w:asciiTheme="minorEastAsia" w:hAnsiTheme="minorEastAsia"/>
          <w:b/>
          <w:sz w:val="44"/>
          <w:szCs w:val="44"/>
        </w:rPr>
        <w:t>2016-2018年生态精品现代农业发展专项</w:t>
      </w:r>
    </w:p>
    <w:p>
      <w:pPr>
        <w:jc w:val="center"/>
        <w:rPr>
          <w:rFonts w:hint="eastAsia" w:asciiTheme="minorEastAsia" w:hAnsiTheme="minorEastAsia" w:eastAsiaTheme="minorEastAsia" w:cstheme="minorEastAsia"/>
          <w:b/>
          <w:bCs w:val="0"/>
          <w:kern w:val="0"/>
          <w:sz w:val="44"/>
          <w:szCs w:val="44"/>
        </w:rPr>
      </w:pPr>
      <w:r>
        <w:rPr>
          <w:rFonts w:hint="eastAsia" w:asciiTheme="minorEastAsia" w:hAnsiTheme="minorEastAsia" w:eastAsiaTheme="minorEastAsia" w:cstheme="minorEastAsia"/>
          <w:b/>
          <w:bCs w:val="0"/>
          <w:sz w:val="44"/>
          <w:szCs w:val="44"/>
        </w:rPr>
        <w:t>--</w:t>
      </w:r>
      <w:r>
        <w:rPr>
          <w:rFonts w:hint="eastAsia" w:asciiTheme="minorEastAsia" w:hAnsiTheme="minorEastAsia" w:eastAsiaTheme="minorEastAsia" w:cstheme="minorEastAsia"/>
          <w:b/>
          <w:bCs w:val="0"/>
          <w:kern w:val="0"/>
          <w:sz w:val="44"/>
          <w:szCs w:val="44"/>
        </w:rPr>
        <w:t>院校合作补助政策</w:t>
      </w:r>
    </w:p>
    <w:p>
      <w:pPr>
        <w:jc w:val="left"/>
        <w:rPr>
          <w:rFonts w:hint="eastAsia" w:ascii="仿宋_GB2312" w:hAnsi="仿宋_GB2312" w:eastAsia="仿宋_GB2312" w:cs="仿宋_GB2312"/>
          <w:b/>
          <w:bCs w:val="0"/>
          <w:sz w:val="28"/>
          <w:szCs w:val="28"/>
        </w:rPr>
      </w:pPr>
    </w:p>
    <w:p>
      <w:pPr>
        <w:spacing w:line="500" w:lineRule="exact"/>
        <w:ind w:firstLine="840" w:firstLineChars="3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为深入贯彻《中共中央 国务院关于全面实施预算绩效管理的意见》（中发﹝2018﹞34号）及《中共浙江省委 浙江省人民政府关于全面落实预算绩效管理的实施意见》（浙委发﹝2018﹞71号）精神，进一步加强财政支出绩效管理，提高财政资金使用效益和效率，根据</w:t>
      </w:r>
      <w:r>
        <w:rPr>
          <w:rFonts w:hint="eastAsia" w:ascii="仿宋_GB2312" w:hAnsi="仿宋_GB2312" w:eastAsia="仿宋_GB2312" w:cs="仿宋_GB2312"/>
          <w:sz w:val="28"/>
          <w:szCs w:val="28"/>
        </w:rPr>
        <w:t>《中共丽水市委 丽水市人民政府关于全面实施预算绩效管理的若干意见》（丽委发〔2019〕24号）</w:t>
      </w:r>
      <w:r>
        <w:rPr>
          <w:rFonts w:hint="eastAsia" w:ascii="仿宋_GB2312" w:hAnsi="仿宋_GB2312" w:eastAsia="仿宋_GB2312" w:cs="仿宋_GB2312"/>
          <w:kern w:val="0"/>
          <w:sz w:val="28"/>
          <w:szCs w:val="28"/>
        </w:rPr>
        <w:t>和《丽水市财政局关于开展2019年市直财政重点绩效评价工作的通知》(丽财监督〔2019〕99号）的要求，浙江普华会计师事务所有限公司接受丽水市财政局委托，对2016-2018年丽水市生态精品现代农业发展专项-院校合作补助政策项目实施绩效评价。</w:t>
      </w:r>
    </w:p>
    <w:p>
      <w:pPr>
        <w:spacing w:line="500" w:lineRule="exact"/>
        <w:ind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次绩效评价工作开展的目的在于：评价项目的目标设定情况、目标完成情况、项目组织管理水平、项目实施效益和财务管理等情况，针对项目实施过程中存在的问题提出改进意见和建议，为政策的调整和类似项目的实施管理提供借鉴和决策参考，推进市直预算绩效管理工作，使财政资金发挥更大作用与效益。</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（一）项目基本概况</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1．项目基本情况</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为充分发挥浙江省农业科学院的科技人才优势和丽水生态农业产业的特色优势，加快农业科技创新与成果转化，促进丽水生态精品农业全面提升发展，围绕“两富”总目标，双方本着“长期协作、优势互补、共建平台、合作共赢”的原则，经浙江省农业科学院与丽水市人民政府双方友好协商，就共同促进丽水生态精品农业发展达成合作实施协议，在2013年签订《浙江省农业科学院丽水市人民政府关于共同促进丽水市现代农业发展战略合作框架协议》（合同年限暂定5年，自2013年1月至2018年1月，合同到期后未延长或签订新的合作框架协议）。丽水市农业农村局从2013年开始开展生态精品现代农业发展专项-院校合作补助政策相关工作（以下简称院校合作项目）。2016年8月15号，丽水市农业局印发《丽水市人民政府与浙江省农业科学院合作农业科学技术研究与开发应用项目实施管理暂行办法（试行）》（丽农发〔2016〕95号）。2016-2018年，丽水市农业局每年印发科技合作项目年度资金计划。</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2．项目执行情况</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（1）补助资金使用及管理情况</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院校合作项目2016-2018年共核拨补助资金1175万元，分年度资金安排情况如下：</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2016年安排项目总金额475万元，其中2014年度启动实施的第二批项目共11个，安排 2016年度补助资金110万元；2015年度启动实施的第三批项目共7个，安排2016年度补助资金75万元；2016年度启动实施的第四批项目共14个，安排2016年度补助资金240万元；2016年度院地合作安排省农科院工作经费50万元。</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2017年安排项目总金额500万元，其中2015年度启动实施的第三批项目共7个，安排2017年度补助资金60万元；2016年度启动实施的第四批项目共14个，安排2017年度补助资金140万元；2017年度启动实施的第五批项目共12个，安排2017年度补助资金250万元；2017年度院地合作安排省农科院工作经费50万元。</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2018年安排项目总金额200万元，其中2016年度启动实施的第四批项目共14个，安排2018年度补助资金80万元；2017年度启动实施的第五批项目共12个，安排2018年度补助资金40万元；2018年度启动实施的第六批项目共4个，安排2018年度补助资金80万元。</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为加强院校合作项目管理，明确工作职责，在签订《浙江省农业科学院丽水市人民政府关于共同促进丽水市现代农业发展战略合作框架协议》时划分双方责任。对于向丽水市农业农村局申报农业科技合作研发项目的，由丽水市农业农村局对申报单位资格、申请材料的准确性和真实性进行审核，并组织专家讨论小组对项目的必要性、可行性和合理性进行会审，对审查通过的农业科技合作研发项目的科技经费补助额度，经局领导班子研究确定。</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对于列入农业科技合作研发经费补助计划的项目，丽水市农业农村局与项目承担单位签订农业科技合作研发项目实施合同书。</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丽水市农业农村局在对项目进行验收时，组成相关专家评审小组，对结题验收的项目进行绩效评价。</w:t>
      </w:r>
    </w:p>
    <w:p>
      <w:pPr>
        <w:spacing w:line="360" w:lineRule="auto"/>
        <w:ind w:firstLine="560" w:firstLineChars="200"/>
        <w:rPr>
          <w:rFonts w:hint="eastAsia" w:ascii="仿宋_GB2312" w:hAnsi="仿宋_GB2312" w:eastAsia="仿宋_GB2312" w:cs="仿宋_GB2312"/>
          <w:bCs/>
          <w:kern w:val="0"/>
          <w:sz w:val="28"/>
          <w:szCs w:val="28"/>
          <w:highlight w:val="yellow"/>
        </w:rPr>
      </w:pPr>
      <w:r>
        <w:rPr>
          <w:rFonts w:hint="eastAsia" w:ascii="仿宋_GB2312" w:hAnsi="仿宋_GB2312" w:eastAsia="仿宋_GB2312" w:cs="仿宋_GB2312"/>
          <w:bCs/>
          <w:kern w:val="0"/>
          <w:sz w:val="28"/>
          <w:szCs w:val="28"/>
        </w:rPr>
        <w:t>根据承担单位提供的资料，截至2019年7月29日，承担单位实际支出 11,510,525.82元。</w:t>
      </w:r>
    </w:p>
    <w:p>
      <w:p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sz w:val="28"/>
          <w:szCs w:val="28"/>
        </w:rPr>
        <w:t>项目建设情况</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2016-2018年的补助资金共补助了48个项目，其中：2014年第二批11个项目，2015年第三批7个项目，2016年第四批14个项目，2017年第五批12个项目，2018年第六批4个项目。</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2014年第二批启动建设了11个项目：1.长三角白山羊品种资源保护体系的建立及提纯复壮；2.利用食用菌废渣研制蔬菜育苗基质及规模化示范；3.丽水枇杷种质资源利用与灾害天气防御技术开发与示范；4.丽水生态精品农产品全程质量控制标准体系建设；5.生态精品农业基地土壤环境监测及污染防治技术研究与示范；6.浙贝母优质脱毒种苗产业化生产示范与种质退化研究；7.设施农业水肥一体化技术研究与示范；8.基于农业模型的丽水智慧农业与物联网技术集成创新与示范；9.丽水出口蔬菜胡萝卜引种试种与基地建设；10.丽水药食两用特色药材食凉茶品质提升关键技术研究与产业化前期开发 ；11.生态茶园建设关键技术研究与集成示范。</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2015年第三批启动建设了7个项目：1.茭白鞘叶饲料资源化技术的研究与应用；2.丽水中蜂资源保护、挖掘与利用；3.高山蔬菜可持续高效生产技术研究与示范；4.茭白田高效生态种养模式及其关键技术研究与示范；5.高山优质粳稻品种的筛选和药肥双减栽培技术及其稻米产业化开发；6.蚕豆、花生新品种的引进、示范与产业化；7.沼液浓缩与化肥替代技术研究与示范。</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2016 年第四批启动建设了14个项目：1.观光采摘型大棚草莓生产模式建立与示范推广；2.无基质纯菌丝菌种生产装备与工艺研究；3.水果（葡萄）优质高效系列技术；4.草本中药材种植连作障碍防控技术研究与应用；5.饲料对三黄鸡肉质风味改善的研究；6.碧湖猪保护和开发；7.触摸屏测土配方施肥咨询系统建设；8.鲜切蔬菜物流保鲜与质量控制技术研究；9.观赏多浆植物高效繁育及高山设施栽培技术示范应用；10.生态精品蔬菜基地病虫无害化治理技术研究与示范；11.猕猴桃优新品种引选及野生资源开发利用；12.丽水中药材当家品种良种繁育地筛选及繁育技术研究；13.丽水茶园生态管理及双减新技术示范应用研究；14.基于全产业链的丽水茶产业综合技术集成服务与示范推广。 </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2017 年第五批启动建设了12个项目：1.长三角白山羊品种资源保护体系的建立及提纯复壮(二期)；2.鲜食大豆新品种引进与示范推广；3.优良油橄榄品种筛选及配套技术研发与示范；4.丽水市主栽蔬菜周年生产模式的研究与推广；5. 菜用蚕豆育种技术和高效栽培技术研究；6.苔藓室内适应性栽培及空气净化功能评价；7. 缙云黄茶生态培肥及品质提升关键技术研究与示范；8.云和雪梨生产技术水平综合提升关键技术研究与应用；9.丽水多种小气候条件下甜樱桃适栽品种及新技术示范；10.食用菌理化协同高效灭菌技术研究；11.龙泉高山谷物冲调食品研发与应用；12.甘薯加工副产物高效利用技术集成与示范。</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2018年第六批启动建设了4个项目：1.鹊山鸡选育利用及健康养殖技术研究与示范；2.高品质樱桃番茄新品种及配套栽培技术示范推广；3.浙西南山区集中旱育秧绿色健苗技术产品应用与推广；4.对标欧盟丽水农药化肥准入及优质农产品推荐标准研究。</w:t>
      </w:r>
    </w:p>
    <w:p>
      <w:pPr>
        <w:spacing w:line="500" w:lineRule="exact"/>
        <w:ind w:firstLine="551" w:firstLineChars="196"/>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（二）实地检查及问卷情况</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根据《绩效评价实施方案》，本次实地检查重点抽查了丽水市7个县（市、区）共11个项目， 莲都区2个项目，缙云县2个项目，景宁县2个项目，云和县1个项目，龙泉市1个项目，松阳县2个项目，遂昌县1个项目。</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本次实地调查问卷涉及丽水市及各县（市、区）院校合作项目相关人员。政府管理人员实地调查问卷2份，电子调查问卷20份；项目实施相关人员实地调查问卷12份，电子调查问卷6份。</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府管理人员（问卷一）实地调查问卷2份，电子调查问卷20份。调查问卷结果显示，政策是否符合当地经济社会发展需要：81.82%人员表示符合，18.18%人员表示较符合；对区域经济发展的推动作用：50.00%人员表示作用非常大，36.36%人员表示作用比较大，13.64%人员表示有一定的作用；对政策实施效果的总体评价：27.27%人员表示很满意，72.73%人员表示较满</w:t>
      </w:r>
      <w:r>
        <w:rPr>
          <w:rFonts w:hint="eastAsia" w:ascii="仿宋_GB2312" w:hAnsi="仿宋_GB2312" w:eastAsia="仿宋_GB2312" w:cs="仿宋_GB2312"/>
          <w:kern w:val="0"/>
          <w:sz w:val="28"/>
          <w:szCs w:val="28"/>
          <w:highlight w:val="none"/>
        </w:rPr>
        <w:t>意。</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实施相关方（问卷二）实地调查问卷12份，电子调查问卷6份，调查问卷结果显示，对政府推行丽水市生态精品现代农业院校合作专项补助政策是否了解：16.67%人员表示非常了解，50.00%人员表示基本了解，33.33%人员表示了解不多；对单位的经营效益影响如何：16.67%人员表示影响很大，55.55%人员表示影响较大，22.22%人员表示影响一般，5.56%人员表示影响不明显；项目实施相关方对政策实施效果满意度：38.89%人员表示很满意，61.11%人员表示较满</w:t>
      </w:r>
      <w:r>
        <w:rPr>
          <w:rFonts w:hint="eastAsia" w:ascii="仿宋_GB2312" w:hAnsi="仿宋_GB2312" w:eastAsia="仿宋_GB2312" w:cs="仿宋_GB2312"/>
          <w:kern w:val="0"/>
          <w:sz w:val="28"/>
          <w:szCs w:val="28"/>
          <w:highlight w:val="none"/>
        </w:rPr>
        <w:t>意。</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详见附件2：实地调查明细表；附件3：问卷调查统计表</w:t>
      </w:r>
    </w:p>
    <w:p>
      <w:pPr>
        <w:spacing w:line="500" w:lineRule="exact"/>
        <w:ind w:firstLine="551" w:firstLineChars="196"/>
        <w:jc w:val="left"/>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（三）政策评价结论</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绩效评价小组通过查阅资料、询问查证、抽查会计凭证、实地检查、问卷调查等方式，深入各有关单位组织实施绩效评价工作，在全面了解和掌握情况的基础上，对项目进行以下评价：</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1．政策相关性较高。得分8.5分。项目的扶持内容基本符合经济社会的发展需要和省、市政策文件精神，但与其他政策存在重叠。</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2．政策效率性一般。得分5.5分。部分项目及补助资金计划完成率不高，业务管理效率有待加强。</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3．政策有效性一般。得分7分。该政策对于推动区域效益、提高经济效益及推广应用新品种、新技术、新产品方面还需进一步加强。</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详见附件4：补助政策绩效评分表；附件5：评价指标和标准的说明</w:t>
      </w:r>
    </w:p>
    <w:p>
      <w:pPr>
        <w:spacing w:line="500" w:lineRule="exact"/>
        <w:ind w:firstLine="551" w:firstLineChars="196"/>
        <w:rPr>
          <w:rFonts w:hint="eastAsia" w:ascii="仿宋_GB2312" w:hAnsi="仿宋_GB2312" w:eastAsia="仿宋_GB2312" w:cs="仿宋_GB2312"/>
          <w:sz w:val="28"/>
          <w:szCs w:val="28"/>
          <w:highlight w:val="yellow"/>
        </w:rPr>
      </w:pPr>
      <w:r>
        <w:rPr>
          <w:rFonts w:hint="eastAsia" w:ascii="仿宋_GB2312" w:hAnsi="仿宋_GB2312" w:eastAsia="仿宋_GB2312" w:cs="仿宋_GB2312"/>
          <w:b/>
          <w:sz w:val="28"/>
          <w:szCs w:val="28"/>
        </w:rPr>
        <w:t>（四）政策绩效</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1．推动了农业新品种和先进实用技术的引进示范推广，加快农业科技成果转化</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2016-2018年实际共安排了项目总金额1175万元，共有48个项目被列入农业科技合作研发经费补助计划中。根据提供的资料，</w:t>
      </w:r>
      <w:r>
        <w:rPr>
          <w:rFonts w:hint="eastAsia" w:ascii="仿宋_GB2312" w:hAnsi="仿宋_GB2312" w:eastAsia="仿宋_GB2312" w:cs="仿宋_GB2312"/>
          <w:kern w:val="0"/>
          <w:sz w:val="28"/>
          <w:szCs w:val="28"/>
          <w:lang w:eastAsia="zh-CN"/>
        </w:rPr>
        <w:t>截至</w:t>
      </w:r>
      <w:r>
        <w:rPr>
          <w:rFonts w:hint="eastAsia" w:ascii="仿宋_GB2312" w:hAnsi="仿宋_GB2312" w:eastAsia="仿宋_GB2312" w:cs="仿宋_GB2312"/>
          <w:kern w:val="0"/>
          <w:sz w:val="28"/>
          <w:szCs w:val="28"/>
        </w:rPr>
        <w:t>2018年，累计推广新品种130余项，集成先进实用技术120余项，形成技术规程和标准100余项。如：“水果（葡萄）优质高效系列技术”项目，在丽水市的5个县共建立了7个试验示范基地，分别是缙云县杰帅葡萄专业合作社、遂昌县粒粒红水果专业合作社、遂昌农业局试验基地、青田县船寮镇石盖村、龙泉县吕品农业观光园、云和县大田水果专业合作社和莲都雅丰合作社，总面积360余亩。通过扩大生产示范基点的影响力，增强示范带动作用。缙云项帅应用肥水一体化技术，密植改稀植栽培方式，病虫害综合防控技术后，红地球亩产5000斤，果穗色泽美丽，效益提高20%。粒粒红合作社华满墩基地种植的新品种，售价高于当地品种100%，亩产值达3万元左右，亩增效50%以上。在项目实施过程中，出版《图解南方葡萄优质安全生产与管理》书籍1部，发表论文3篇。</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highlight w:val="none"/>
        </w:rPr>
        <w:t>．对于增加农民收入及生态和谐的新农村建设发挥了推动作用</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通过农业科技合作研发项目，举办了农业实用技术现场会、培训会和科技示范，一定程度上改善了农业从业人员的知识结构，</w:t>
      </w:r>
      <w:r>
        <w:rPr>
          <w:rFonts w:hint="eastAsia" w:ascii="仿宋_GB2312" w:hAnsi="仿宋_GB2312" w:eastAsia="仿宋_GB2312" w:cs="仿宋_GB2312"/>
          <w:kern w:val="0"/>
          <w:sz w:val="28"/>
          <w:szCs w:val="28"/>
        </w:rPr>
        <w:t>根据提供的资料初步统计，</w:t>
      </w:r>
      <w:r>
        <w:rPr>
          <w:rFonts w:hint="eastAsia" w:ascii="仿宋_GB2312" w:hAnsi="仿宋_GB2312" w:eastAsia="仿宋_GB2312" w:cs="仿宋_GB2312"/>
          <w:kern w:val="0"/>
          <w:sz w:val="28"/>
          <w:szCs w:val="28"/>
          <w:lang w:eastAsia="zh-CN"/>
        </w:rPr>
        <w:t>截至</w:t>
      </w:r>
      <w:r>
        <w:rPr>
          <w:rFonts w:hint="eastAsia" w:ascii="仿宋_GB2312" w:hAnsi="仿宋_GB2312" w:eastAsia="仿宋_GB2312" w:cs="仿宋_GB2312"/>
          <w:kern w:val="0"/>
          <w:sz w:val="28"/>
          <w:szCs w:val="28"/>
        </w:rPr>
        <w:t>2018年科技人员下乡技术指导610批次1800多人次，召开新品种新技术示范的现场会33场次，培训会75场，累计培训农技人员、企业、农户等5200人次。如：“鹊山鸡选育利用及健康养殖技术研究与示范”项目，制订了“肉鸡健康养殖和安全生产技术规程”和“优质肉鸡果园养殖饲养管理技术规程”；针对商品肉鸡制定了整套的综合防控程序；申请发明专利2件；撰写发表论文4篇，培养研究生2名，开展技术指导与培训500余人次。建立了鹊山鸡标准化养殖生产示范基地1个，松阳县早上好鹊山鸡养殖有限公司拥有一个原种鹊山鸡种鸡场，同时在松阳县新处乡、四都乡、三都乡、安民乡、大东坝镇山区乡镇及西屏镇、古市镇平原乡镇山区村的林木草地山田，建立了16个无公害养殖场基地，带动农户1500多户，目前养殖规模26万羽，公司相继获得丽水市著名商标、丽水市名牌产品、浙江省名牌农产品、浙江省著名商标等荣誉。</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highlight w:val="none"/>
        </w:rPr>
        <w:t>．一定程度上促进了农业产业结构调整与转型</w:t>
      </w:r>
    </w:p>
    <w:p>
      <w:pPr>
        <w:spacing w:line="360" w:lineRule="auto"/>
        <w:ind w:firstLine="560" w:firstLineChars="200"/>
        <w:rPr>
          <w:rFonts w:hint="eastAsia" w:ascii="仿宋_GB2312" w:hAnsi="仿宋_GB2312" w:eastAsia="仿宋_GB2312" w:cs="仿宋_GB2312"/>
          <w:kern w:val="0"/>
          <w:sz w:val="28"/>
          <w:szCs w:val="28"/>
          <w:highlight w:val="green"/>
        </w:rPr>
      </w:pPr>
      <w:r>
        <w:rPr>
          <w:rFonts w:hint="eastAsia" w:ascii="仿宋_GB2312" w:hAnsi="仿宋_GB2312" w:eastAsia="仿宋_GB2312" w:cs="仿宋_GB2312"/>
          <w:kern w:val="0"/>
          <w:sz w:val="28"/>
          <w:szCs w:val="28"/>
          <w:highlight w:val="none"/>
        </w:rPr>
        <w:t>院校合作补助政策的实施，使得一批优质高产高效农作物新品种在丽水市得到推广应用，推动了丽水市农业产业结构调整与转型。</w:t>
      </w:r>
      <w:r>
        <w:rPr>
          <w:rFonts w:hint="eastAsia" w:ascii="仿宋_GB2312" w:hAnsi="仿宋_GB2312" w:eastAsia="仿宋_GB2312" w:cs="仿宋_GB2312"/>
          <w:kern w:val="0"/>
          <w:sz w:val="28"/>
          <w:szCs w:val="28"/>
        </w:rPr>
        <w:t>如:“食用菌理化协同高效灭菌技术研究”项目，针对目前工厂化和成品菌棒企业对灭菌过程的“短平快”要求，改进灭菌方案，进行配方组合优化对比试验，筛选出高效无毒无残留且对杂菌有强烈抑制的配方，通过理化协同作用，同时，进行微压灭菌设备的安装调试，实现常压或微压条件下，达到高效稳定灭菌。目前已达到6 hr微压灭菌、“见百即停”（料温达100℃则停止加温“焖灶”）灭菌试验要求。加快了农业产业结构调整与转型，推进了相关农业企业在丽水市的发展。以庆元县四季丰农产品专业合作社为核心，在庆元县竹口镇建立核心示范区或示范点，并向周边地区辐射展开技术推广与应用。全镇及周边乡镇黑木耳中温灭菌累计推广量52.3万棒。同时在浙江桑泥、云和兴农合作社、河南龙丰实业股份有限公司等单位推广使用。年共推广中温灭菌剂12.36吨，可满足618万棒的生产应用。浙江桑泥食用菌科技有限公司试验表明，采用高效灭菌，25度条件下，发菌速度提高23%，产量提高11.2%，节省灭菌能源消耗56.3%。申报专利“一种采用太阳能加热的中温灭菌设备”1项。</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4．</w:t>
      </w:r>
      <w:r>
        <w:rPr>
          <w:rFonts w:hint="eastAsia" w:ascii="仿宋_GB2312" w:hAnsi="仿宋_GB2312" w:eastAsia="仿宋_GB2312" w:cs="仿宋_GB2312"/>
          <w:kern w:val="0"/>
          <w:sz w:val="28"/>
          <w:szCs w:val="28"/>
          <w:highlight w:val="none"/>
        </w:rPr>
        <w:t>为实现农业增效、增产、提质提供了推动力</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借助浙江省农业科学院的科研、技术和人才优势，通过长期协作、优势互补加快了智慧农业发展步伐，农业生产效率在一定程度上得到了提升。</w:t>
      </w:r>
      <w:r>
        <w:rPr>
          <w:rFonts w:hint="eastAsia" w:ascii="仿宋_GB2312" w:hAnsi="仿宋_GB2312" w:eastAsia="仿宋_GB2312" w:cs="仿宋_GB2312"/>
          <w:kern w:val="0"/>
          <w:sz w:val="28"/>
          <w:szCs w:val="28"/>
        </w:rPr>
        <w:t>如：“茭白田高效生态种养模式及其关键技术研究与示范”项目，通过茭白田套养泥鳅与甲鱼，明显提高了茭白品质，使得销售价格比普通茭白每公斤提高0.4元，其中套养泥鳅收入每亩增加1500-2000元，套养甲鱼收入每亩增加4000-5000元，较显著的增加了茭农收入；“触摸屏测土配方施肥咨询系统建设”项目完成了专家系统集成、全市各县的耕地地力评价更新、丽水市各县离线底图和业务数据打包制作、各县市区施肥方案的建库入库。在实地施肥调查的基础上，根据当地主栽作物品种，因地制宜形成区域针对性的施肥方案原型，再经一线农技人员和相关专家修正，形成区域特色的多作物施肥方案库。完成触摸屏系统开发和数据处理之后，即在全市进行推广应用。首先，为丽水市级农业局配备42寸大型触摸屏一体机2套，并安装部署了全市的数据。在市级应用的同时，也在各县市区中推广应用。其中，缙云县已在各乡镇或农资点安装部署了20多套、松阳2套、龙泉、遂昌、青田、云和、庆元等各1套。通过对缙云县各乡镇的实地调查，获得了当地主栽的水稻、油菜、茭白、黄花菜、提子等农经作物的施肥数据，结合专家经验修正，整理形成了当地特色的施肥方案10多套；通过与松阳县、龙泉市农技部门的协作，完成了早稻、晚稻、油菜、鲜食蚕豆、鲜食玉米、吊瓜、葡萄等10余种当地主要作物施肥方案，并已入库供触摸屏施肥咨询系统使用。</w:t>
      </w:r>
    </w:p>
    <w:p>
      <w:pPr>
        <w:spacing w:line="500" w:lineRule="exact"/>
        <w:ind w:firstLine="551" w:firstLineChars="196"/>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（五）评价发现的问题</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1．相关管理制度不够健全，监管不够到位</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管理制度中缺少对项目验收期限的规定，验收工作滞后。丽水市农业农村局对项目未及时开展验收、检查、评价工作，个别项目已过建设期但还未验收。在丽水市农业局关于印发《丽水市人民政府与浙江省农业科学院合作农业科学技术研究与开发应用项目实施管理暂行办法（试行）》的通知中，缺少对于验收项目期限的规定。截至评价日，丽水市农业农村局仅验收了2014年启动的第二批项目，2015年启动的第三批项目建设期已满但未验收（</w:t>
      </w:r>
      <w:r>
        <w:rPr>
          <w:rFonts w:hint="eastAsia" w:ascii="仿宋_GB2312" w:hAnsi="仿宋_GB2312" w:eastAsia="仿宋_GB2312" w:cs="仿宋_GB2312"/>
          <w:kern w:val="0"/>
          <w:sz w:val="28"/>
          <w:szCs w:val="28"/>
          <w:lang w:eastAsia="zh-CN"/>
        </w:rPr>
        <w:t>截至</w:t>
      </w:r>
      <w:r>
        <w:rPr>
          <w:rFonts w:hint="eastAsia" w:ascii="仿宋_GB2312" w:hAnsi="仿宋_GB2312" w:eastAsia="仿宋_GB2312" w:cs="仿宋_GB2312"/>
          <w:kern w:val="0"/>
          <w:sz w:val="28"/>
          <w:szCs w:val="28"/>
        </w:rPr>
        <w:t>2019年9月29日，2015年启动的第三批项目验收完成）。在实地查看过程中了解到，个别项目在完成后还未验收但实施基地已撤除相关实验内容，丽水市农业农村局对于项目验收的滞后将会导致个别项目无法实地查看实施情况，而仅从承担单位提供的资料进行分析验收，难以得出较为客观的结论。</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缺少对合作单位工作的监管机制。对于合作单位的项目实施缺乏监管，存在个别项目承担单位未与具体合作单位签订合同，缺少对合作单位的约束力，间接导致项目延期的情况。例如：“丽水多种小气候条件下甜樱桃适栽品种及新技术示范”项目，其中的两个合作单位丽水市申屠农产品专业合作社和云和梯田精品果园。承担单位未与合作单位丽水市申屠农产品专业合作社签订协议，且该项目已申请延期，在实地查看时发现该项目实施地之一丽水市申屠农产品专业合作社本有500株左右的树苗，但实地查看盘点仅剩约180株，树苗死亡率高。据合作单位反映，因人手不足，无太多精力对树苗进行管理。另外，从查看的项目资料中发现，另一合作单位云和梯田精品果园，因土地被征用，业主心散，造成裂果及鸟害，最终无法开现场会，项目未能及时取得预期的绩效。</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对于合作单位的资料保存与提供也缺乏监管，有个别项目存在未有后续推广销售时的台账记录，推广作为项目中重要的组成部分，但未有相关资料记录，不利于项目验收时的考核、评价。并且在提供的项目相关资料中发现，项目承担单位未对企业提供的应用证明相关数据进行验证，存在应用证明的数据与企业实际财务报表、销售台账等不一致的情况。例如：“甘薯加工副产物高效利用技术集成与示范”项目，提供的项目相关资料中遂昌县金色食品有限公司的应用证明上表述内容为：“我公司与浙江省农业科学院食品科学研究所共同承担地方科技合作项目《甘薯加工副产物高效利用技术集成与示范》，该项目能够适当利用我公司薯干加工中残留的甘薯皮和甘薯蒸煮液，实现新增产值236万元”。获取公司实际的报表，未取得生产及销售明细台账，大致估算项目起止年月2017.6-2019.5，新增产值无法达到应用证明上的数值。详见：遂昌县金色食品有限公司利润表</w:t>
      </w:r>
    </w:p>
    <w:p>
      <w:pPr>
        <w:spacing w:line="360" w:lineRule="auto"/>
        <w:ind w:firstLine="560" w:firstLineChars="200"/>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遂昌县金色食品有限公司利润表 </w:t>
      </w:r>
    </w:p>
    <w:p>
      <w:pPr>
        <w:spacing w:line="360" w:lineRule="auto"/>
        <w:ind w:firstLine="560" w:firstLineChars="200"/>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单位：元</w:t>
      </w:r>
    </w:p>
    <w:p>
      <w:pPr>
        <w:spacing w:line="360" w:lineRule="auto"/>
        <w:ind w:firstLine="560" w:firstLineChars="200"/>
        <w:jc w:val="center"/>
        <w:rPr>
          <w:rFonts w:hint="eastAsia" w:ascii="仿宋_GB2312" w:hAnsi="仿宋_GB2312" w:eastAsia="仿宋_GB2312" w:cs="仿宋_GB2312"/>
          <w:kern w:val="0"/>
          <w:sz w:val="28"/>
          <w:szCs w:val="28"/>
        </w:rPr>
      </w:pPr>
    </w:p>
    <w:tbl>
      <w:tblPr>
        <w:tblStyle w:val="6"/>
        <w:tblpPr w:leftFromText="180" w:rightFromText="180" w:vertAnchor="text" w:horzAnchor="page" w:tblpX="1711" w:tblpY="569"/>
        <w:tblOverlap w:val="never"/>
        <w:tblW w:w="86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510"/>
        <w:gridCol w:w="1755"/>
        <w:gridCol w:w="1515"/>
        <w:gridCol w:w="1530"/>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711" w:type="dxa"/>
            <w:noWrap w:val="0"/>
            <w:vAlign w:val="top"/>
          </w:tcPr>
          <w:p>
            <w:pPr>
              <w:tabs>
                <w:tab w:val="left" w:pos="3150"/>
              </w:tabs>
              <w:spacing w:line="440" w:lineRule="exact"/>
              <w:rPr>
                <w:rFonts w:hint="eastAsia" w:ascii="仿宋_GB2312" w:hAnsi="仿宋_GB2312" w:eastAsia="仿宋_GB2312" w:cs="仿宋_GB2312"/>
                <w:sz w:val="21"/>
                <w:szCs w:val="21"/>
              </w:rPr>
            </w:pPr>
          </w:p>
        </w:tc>
        <w:tc>
          <w:tcPr>
            <w:tcW w:w="1510"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2016年</w:t>
            </w:r>
          </w:p>
        </w:tc>
        <w:tc>
          <w:tcPr>
            <w:tcW w:w="1755" w:type="dxa"/>
            <w:noWrap w:val="0"/>
            <w:vAlign w:val="center"/>
          </w:tcPr>
          <w:p>
            <w:pPr>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2017年</w:t>
            </w:r>
          </w:p>
        </w:tc>
        <w:tc>
          <w:tcPr>
            <w:tcW w:w="1515" w:type="dxa"/>
            <w:noWrap w:val="0"/>
            <w:vAlign w:val="center"/>
          </w:tcPr>
          <w:p>
            <w:pPr>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2016年-2017年新增产值：</w:t>
            </w:r>
          </w:p>
        </w:tc>
        <w:tc>
          <w:tcPr>
            <w:tcW w:w="1530" w:type="dxa"/>
            <w:noWrap w:val="0"/>
            <w:vAlign w:val="center"/>
          </w:tcPr>
          <w:p>
            <w:pPr>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2018年</w:t>
            </w:r>
          </w:p>
        </w:tc>
        <w:tc>
          <w:tcPr>
            <w:tcW w:w="1650" w:type="dxa"/>
            <w:noWrap w:val="0"/>
            <w:vAlign w:val="center"/>
          </w:tcPr>
          <w:p>
            <w:pPr>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2016年-2018年新增产值：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711" w:type="dxa"/>
            <w:noWrap w:val="0"/>
            <w:vAlign w:val="top"/>
          </w:tcPr>
          <w:p>
            <w:pPr>
              <w:tabs>
                <w:tab w:val="left" w:pos="3150"/>
              </w:tabs>
              <w:spacing w:line="44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营业收入</w:t>
            </w:r>
          </w:p>
        </w:tc>
        <w:tc>
          <w:tcPr>
            <w:tcW w:w="1510"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3,534,848.21</w:t>
            </w:r>
            <w:r>
              <w:rPr>
                <w:rFonts w:hint="eastAsia" w:ascii="仿宋_GB2312" w:hAnsi="仿宋_GB2312" w:eastAsia="仿宋_GB2312" w:cs="仿宋_GB2312"/>
                <w:sz w:val="21"/>
                <w:szCs w:val="21"/>
              </w:rPr>
              <w:tab/>
            </w:r>
            <w:r>
              <w:rPr>
                <w:rFonts w:hint="eastAsia" w:ascii="仿宋_GB2312" w:hAnsi="仿宋_GB2312" w:eastAsia="仿宋_GB2312" w:cs="仿宋_GB2312"/>
                <w:sz w:val="21"/>
                <w:szCs w:val="21"/>
              </w:rPr>
              <w:t xml:space="preserve"> 4,115,740.97 </w:t>
            </w:r>
            <w:r>
              <w:rPr>
                <w:rFonts w:hint="eastAsia" w:ascii="仿宋_GB2312" w:hAnsi="仿宋_GB2312" w:eastAsia="仿宋_GB2312" w:cs="仿宋_GB2312"/>
                <w:sz w:val="21"/>
                <w:szCs w:val="21"/>
              </w:rPr>
              <w:tab/>
            </w:r>
            <w:r>
              <w:rPr>
                <w:rFonts w:hint="eastAsia" w:ascii="仿宋_GB2312" w:hAnsi="仿宋_GB2312" w:eastAsia="仿宋_GB2312" w:cs="仿宋_GB2312"/>
                <w:sz w:val="21"/>
                <w:szCs w:val="21"/>
              </w:rPr>
              <w:t xml:space="preserve"> 4,445,867.01</w:t>
            </w:r>
          </w:p>
        </w:tc>
        <w:tc>
          <w:tcPr>
            <w:tcW w:w="1755"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4,115,740.97</w:t>
            </w:r>
          </w:p>
        </w:tc>
        <w:tc>
          <w:tcPr>
            <w:tcW w:w="1515"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580,892.76</w:t>
            </w:r>
          </w:p>
        </w:tc>
        <w:tc>
          <w:tcPr>
            <w:tcW w:w="1530"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4,445,867.01</w:t>
            </w:r>
          </w:p>
        </w:tc>
        <w:tc>
          <w:tcPr>
            <w:tcW w:w="1650" w:type="dxa"/>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911,018.80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6" w:type="dxa"/>
            <w:gridSpan w:val="3"/>
            <w:noWrap w:val="0"/>
            <w:vAlign w:val="top"/>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合计新增产值：</w:t>
            </w:r>
          </w:p>
        </w:tc>
        <w:tc>
          <w:tcPr>
            <w:tcW w:w="4695" w:type="dxa"/>
            <w:gridSpan w:val="3"/>
            <w:noWrap w:val="0"/>
            <w:vAlign w:val="center"/>
          </w:tcPr>
          <w:p>
            <w:pPr>
              <w:tabs>
                <w:tab w:val="left" w:pos="3150"/>
              </w:tabs>
              <w:spacing w:line="4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1,491,911.56 </w:t>
            </w:r>
          </w:p>
        </w:tc>
      </w:tr>
    </w:tbl>
    <w:p>
      <w:pPr>
        <w:spacing w:line="360" w:lineRule="auto"/>
        <w:ind w:firstLine="560" w:firstLineChars="200"/>
        <w:jc w:val="both"/>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2．政策指向比较宽泛，扶持的项目范围太广，内容较杂，重点不够突出</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2014年-2018年共启动48个项目，在启动的项目中涵盖的内容广泛，没有扶持重点，未在选取项目时进行因地制宜，结合不同县、区、市的农业特点及市场需求来进行规划，无法从根本上解决具体问题，也不利于发挥财政资金的使用效益。例如：“丽水市主栽蔬菜周年生产模式的研究与推广”项目，与合作单位青田县盛合农产品专业合作社负责人了解到，项目引进的新品种不是很符合市场需求，且当地群众种植该产品的极少。根据问卷调查，也有个别企业提出政策没有扶持重点，未解决具体问题。</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3．政策效率不高</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highlight w:val="none"/>
        </w:rPr>
        <w:t>项目完成后未及时验收。</w:t>
      </w:r>
      <w:r>
        <w:rPr>
          <w:rFonts w:hint="eastAsia" w:ascii="仿宋_GB2312" w:hAnsi="仿宋_GB2312" w:eastAsia="仿宋_GB2312" w:cs="仿宋_GB2312"/>
          <w:kern w:val="0"/>
          <w:sz w:val="28"/>
          <w:szCs w:val="28"/>
        </w:rPr>
        <w:t>查看相关资料，2015年启动的第三批项目在合同建设期内完成的占14.29%，项目完成后未及时验收。</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highlight w:val="none"/>
        </w:rPr>
        <w:t>）补助资金计划完成率不够高。</w:t>
      </w:r>
      <w:r>
        <w:rPr>
          <w:rFonts w:hint="eastAsia" w:ascii="仿宋_GB2312" w:hAnsi="仿宋_GB2312" w:eastAsia="仿宋_GB2312" w:cs="仿宋_GB2312"/>
          <w:kern w:val="0"/>
          <w:sz w:val="28"/>
          <w:szCs w:val="28"/>
        </w:rPr>
        <w:t>查看相关资料，补助资金计划完成率为97.96%。实际支出金额中包括了2014年启动的第二批项目和2015年启动的第三批项目中非2016年-2018年补助的支出金额，故实际的完成率应低于该比率。</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4．政策效果不够理想</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对于后续的推广工作不够到位。项目完成后，缺少事后推广工作的安排，仅完成合同规定的少量推广工作，难以充分体现政策的效果。民众对于新事物的接受程度不高，仅通过一两次的培训会、现场会，难以说服农技人员、企业、农户等，这是一个持续性工作，应做好持久战的准备。主管部门缺乏项目推广的计划和后续安排。</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受益主体有限。据了解，项目是通过先由承担单位与合作单位达成共识后一起上报项目，项目由丽水市农业农村局经过讨论筛选再进行公示，在项目公示时，受益主体合作单位已被选定，这一流程使得受益主体有限，也一定程度上影响其他希望直接得到技术指导或新品种引进的主体行使参与权。且项目完成后取得的收益并未让多数农技人员、企业、农户等享受，例如：“丽水中蜂资源保护、挖掘与利用”项目，项目内容大致为选育优良蜂种并建立蜂场。在实地查看时发现蜂场建立在项目合作单位缙云县阿贤家庭农场内，并且对于优良蜂种获取需进行购买，这对于普通农技人员、企业、农户等而言并未从这个项目中享受到政策的效益。同时，还存在不同补助政策之间的受益主体为同一个的情况。例如：“丽水中蜂资源保护、挖掘与利用”项目，根据合同规定，项目合计经费为40万元，其中缙云县阿贤家庭农场作为合作单位合作经费为24万元，在九大产业补助政策中补助美丽牧场-缙云县阿贤家庭农场12万元，也作用于该主体，存在重复补助的现象。</w:t>
      </w:r>
    </w:p>
    <w:p>
      <w:pPr>
        <w:spacing w:line="500" w:lineRule="exact"/>
        <w:ind w:firstLine="551" w:firstLineChars="196"/>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（六）相关意见与建议</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1．进一步完善管理制度，加强监督与考核</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（1）</w:t>
      </w:r>
      <w:r>
        <w:rPr>
          <w:rFonts w:hint="eastAsia" w:ascii="仿宋_GB2312" w:hAnsi="仿宋_GB2312" w:eastAsia="仿宋_GB2312" w:cs="仿宋_GB2312"/>
          <w:kern w:val="0"/>
          <w:sz w:val="28"/>
          <w:szCs w:val="28"/>
        </w:rPr>
        <w:t>丽水市农业农村局应按照全过程预算绩效管理的要求，加强对项目的绩效目标管理、跟踪监控和绩效评价工作。要进一步完善项目审核验收程序，规定项目验收期限，堵塞管理漏洞，严把验收关。进一步完善专项资金管理办法，细化专项资金管理规定，对于后续资金使用加强监管，规范专项资金的使用，充分发挥资金使用效益。在项目实施过程中，应当加强项目执行期内监督和实地考察，如多参与现场考察会、实地听取汇报等。</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highlight w:val="none"/>
        </w:rPr>
        <w:t>（2）进一</w:t>
      </w:r>
      <w:r>
        <w:rPr>
          <w:rFonts w:hint="eastAsia" w:ascii="仿宋_GB2312" w:hAnsi="仿宋_GB2312" w:eastAsia="仿宋_GB2312" w:cs="仿宋_GB2312"/>
          <w:kern w:val="0"/>
          <w:sz w:val="28"/>
          <w:szCs w:val="28"/>
        </w:rPr>
        <w:t>步建立健全对于合作单位的监管机制，完善审批程序，明确监督责任人，可施行项目督查考核机制，加强对项目的承担单位和合作单位事中后的考核，对于人为造成项目延期或提供资料不真实等情况的给予一定惩罚，确保项目能够顺利完成。承担单位也应重视对项目的管理，合理慎重选择合作单位，规范与合作单位之间的合作，签订相关合同，明确双方责任，增强对合作单位的约束力。对于合作单位提供的资料加强考核与监管，做好项目一系列重要资料的记录与保存。</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highlight w:val="none"/>
        </w:rPr>
        <w:t>调整政策扶持重点，科学规划</w:t>
      </w:r>
    </w:p>
    <w:p>
      <w:pPr>
        <w:spacing w:line="360" w:lineRule="auto"/>
        <w:ind w:firstLine="560" w:firstLineChars="200"/>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rPr>
        <w:t>根据不同县、区、市的农业特点及市场需求进行项目选取，多听取相关农技人员、企业、农户真正的需求，从根本上解决农技人员、企业、农户在农业方面的具体问题，促进财政资金更加合理有效配置，提高政策的科学性和资金使用效益。</w:t>
      </w:r>
      <w:r>
        <w:rPr>
          <w:rFonts w:hint="eastAsia" w:ascii="仿宋_GB2312" w:hAnsi="仿宋_GB2312" w:eastAsia="仿宋_GB2312" w:cs="仿宋_GB2312"/>
          <w:kern w:val="0"/>
          <w:sz w:val="28"/>
          <w:szCs w:val="28"/>
          <w:highlight w:val="none"/>
        </w:rPr>
        <w:t>比如2017年第五批项目“优良油橄榄品种筛选及配套技术研发与示范”，通过农科院等专家的技术支持，使得健康、高品质的橄榄油放下身价，成为平价油，进入寻常百姓家。油橄榄作为适宜丘陵山地种植的树种，不与其他农作物争地，又有利于防止水土流失、涵养水源，美化环境。政策应多偏向此类项目，因地制宜切实符合市场需求。</w:t>
      </w:r>
    </w:p>
    <w:p>
      <w:pPr>
        <w:spacing w:line="360" w:lineRule="auto"/>
        <w:ind w:firstLine="560" w:firstLineChars="200"/>
        <w:rPr>
          <w:rFonts w:hint="eastAsia" w:ascii="仿宋_GB2312" w:hAnsi="仿宋_GB2312" w:eastAsia="仿宋_GB2312" w:cs="仿宋_GB2312"/>
          <w:kern w:val="0"/>
          <w:sz w:val="28"/>
          <w:szCs w:val="28"/>
          <w:highlight w:val="yellow"/>
        </w:rPr>
      </w:pPr>
      <w:r>
        <w:rPr>
          <w:rFonts w:hint="eastAsia" w:ascii="仿宋_GB2312" w:hAnsi="仿宋_GB2312" w:eastAsia="仿宋_GB2312" w:cs="仿宋_GB2312"/>
          <w:kern w:val="0"/>
          <w:sz w:val="28"/>
          <w:szCs w:val="28"/>
        </w:rPr>
        <w:t>3．提高政策的效率性，加强对合同履行的管理</w:t>
      </w:r>
    </w:p>
    <w:p>
      <w:pPr>
        <w:spacing w:line="360" w:lineRule="auto"/>
        <w:ind w:firstLine="560" w:firstLineChars="200"/>
        <w:rPr>
          <w:rFonts w:hint="eastAsia" w:ascii="仿宋_GB2312" w:hAnsi="仿宋_GB2312" w:eastAsia="仿宋_GB2312" w:cs="仿宋_GB2312"/>
          <w:kern w:val="0"/>
          <w:sz w:val="28"/>
          <w:szCs w:val="28"/>
          <w:highlight w:val="yellow"/>
        </w:rPr>
      </w:pPr>
      <w:r>
        <w:rPr>
          <w:rFonts w:hint="eastAsia" w:ascii="仿宋_GB2312" w:hAnsi="仿宋_GB2312" w:eastAsia="仿宋_GB2312" w:cs="仿宋_GB2312"/>
          <w:kern w:val="0"/>
          <w:sz w:val="28"/>
          <w:szCs w:val="28"/>
        </w:rPr>
        <w:t>丽水市农业农村局应加强对相关合同履行情况的管理，对于项目未能按合同期限完成的，承担单位需提出书面报告，经主管部门同意后方可延期；对未经同意随意延长项目实施期限或未按要求完成项目实施内容的，应实行相应的</w:t>
      </w:r>
      <w:r>
        <w:rPr>
          <w:rFonts w:hint="eastAsia" w:ascii="仿宋_GB2312" w:hAnsi="仿宋_GB2312" w:eastAsia="仿宋_GB2312" w:cs="仿宋_GB2312"/>
          <w:kern w:val="0"/>
          <w:sz w:val="28"/>
          <w:szCs w:val="28"/>
          <w:lang w:eastAsia="zh-CN"/>
        </w:rPr>
        <w:t>惩戒</w:t>
      </w:r>
      <w:r>
        <w:rPr>
          <w:rFonts w:hint="eastAsia" w:ascii="仿宋_GB2312" w:hAnsi="仿宋_GB2312" w:eastAsia="仿宋_GB2312" w:cs="仿宋_GB2312"/>
          <w:kern w:val="0"/>
          <w:sz w:val="28"/>
          <w:szCs w:val="28"/>
        </w:rPr>
        <w:t>，切实增强合同的约束力。相关承担单位应重视绩效管理，严格按照项目合同规范运作。加快项目及补助资金计划实施进度，根据合同资金安排，合理使用补助资金，使其发挥最大效益。</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4．加大项目的推广力度，增加受益主体</w:t>
      </w:r>
    </w:p>
    <w:p>
      <w:pPr>
        <w:spacing w:line="360" w:lineRule="auto"/>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作为一个持续性的工作，增加民众对于新事物的接受程度，可以发挥地方科技力量与人员积极性，先对其进行培训，提高总体科技能力，再服务于相关农技人员、企业、农户，既有利于保障后续的推广工作，从根本上改善当地科技力量薄弱，相关农技人员、企业、农户有技术难题无法及时得到解决的问题，也可减少承担单位项目负责人的往返开支。对于项目的选择流程，可改为由承担单位先上报项目，经过筛选公示，再选择合作单位，既增强相关农技人员、企业、农户的参与权和积极性，也为增加受益主体与提高项目完成效果提供保障。项目完成后的收益如何划分，也应进一步明确，根据让更多民众受益的原则，来进行合理规划。</w:t>
      </w:r>
    </w:p>
    <w:p>
      <w:pPr>
        <w:spacing w:line="360" w:lineRule="auto"/>
        <w:ind w:firstLine="560" w:firstLineChars="200"/>
        <w:rPr>
          <w:rFonts w:hint="eastAsia" w:ascii="仿宋_GB2312" w:hAnsi="仿宋_GB2312" w:eastAsia="仿宋_GB2312" w:cs="仿宋_GB2312"/>
          <w:kern w:val="0"/>
          <w:sz w:val="28"/>
          <w:szCs w:val="28"/>
        </w:rPr>
      </w:pPr>
    </w:p>
    <w:p>
      <w:pPr>
        <w:spacing w:line="360" w:lineRule="auto"/>
        <w:ind w:firstLine="560" w:firstLineChars="200"/>
        <w:rPr>
          <w:rFonts w:hint="eastAsia" w:ascii="仿宋_GB2312" w:hAnsi="仿宋_GB2312" w:eastAsia="仿宋_GB2312" w:cs="仿宋_GB2312"/>
          <w:kern w:val="0"/>
          <w:sz w:val="28"/>
          <w:szCs w:val="28"/>
        </w:rPr>
      </w:pPr>
    </w:p>
    <w:p>
      <w:pPr>
        <w:ind w:firstLine="280" w:firstLineChars="100"/>
        <w:jc w:val="left"/>
        <w:rPr>
          <w:rFonts w:hint="eastAsia" w:ascii="仿宋_GB2312" w:eastAsia="仿宋_GB2312" w:hAnsiTheme="minorEastAsia"/>
          <w:b/>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w:t>
      </w:r>
      <w:r>
        <w:rPr>
          <w:rFonts w:hint="eastAsia" w:ascii="仿宋_GB2312" w:hAnsi="仿宋" w:eastAsia="仿宋_GB2312" w:cs="宋体"/>
          <w:kern w:val="0"/>
          <w:sz w:val="28"/>
          <w:szCs w:val="28"/>
          <w:lang w:eastAsia="zh-CN"/>
        </w:rPr>
        <w:t>普</w:t>
      </w:r>
      <w:r>
        <w:rPr>
          <w:rFonts w:hint="eastAsia" w:ascii="仿宋_GB2312" w:hAnsi="仿宋" w:eastAsia="仿宋_GB2312" w:cs="宋体"/>
          <w:kern w:val="0"/>
          <w:sz w:val="28"/>
          <w:szCs w:val="28"/>
        </w:rPr>
        <w:t>华会计师事务所有限公司</w:t>
      </w:r>
      <w:r>
        <w:rPr>
          <w:rFonts w:hint="eastAsia" w:ascii="仿宋_GB2312" w:eastAsia="仿宋_GB2312" w:cs="仿宋_GB2312"/>
          <w:kern w:val="0"/>
          <w:sz w:val="28"/>
          <w:szCs w:val="28"/>
        </w:rPr>
        <w:t>）</w:t>
      </w:r>
    </w:p>
    <w:p>
      <w:pPr>
        <w:jc w:val="left"/>
        <w:rPr>
          <w:rFonts w:hint="eastAsia" w:ascii="仿宋_GB2312" w:hAnsi="仿宋_GB2312" w:eastAsia="仿宋_GB2312" w:cs="仿宋_GB2312"/>
          <w:b/>
          <w:bCs w:val="0"/>
          <w:sz w:val="28"/>
          <w:szCs w:val="28"/>
        </w:rPr>
      </w:pPr>
    </w:p>
    <w:p>
      <w:pPr>
        <w:spacing w:line="360" w:lineRule="auto"/>
        <w:ind w:firstLine="560" w:firstLineChars="200"/>
        <w:rPr>
          <w:rFonts w:hint="eastAsia" w:ascii="仿宋_GB2312" w:hAnsi="仿宋_GB2312" w:eastAsia="仿宋_GB2312" w:cs="仿宋_GB2312"/>
          <w:kern w:val="0"/>
          <w:sz w:val="28"/>
          <w:szCs w:val="28"/>
        </w:rPr>
      </w:pPr>
    </w:p>
    <w:p>
      <w:pPr>
        <w:spacing w:line="360" w:lineRule="auto"/>
        <w:ind w:firstLine="560" w:firstLineChars="200"/>
        <w:jc w:val="left"/>
        <w:rPr>
          <w:rFonts w:hint="eastAsia" w:ascii="仿宋_GB2312" w:hAnsi="仿宋_GB2312" w:eastAsia="仿宋_GB2312" w:cs="仿宋_GB2312"/>
          <w:kern w:val="0"/>
          <w:sz w:val="28"/>
          <w:szCs w:val="28"/>
        </w:rPr>
      </w:pPr>
    </w:p>
    <w:p>
      <w:pPr>
        <w:spacing w:line="480" w:lineRule="auto"/>
        <w:ind w:firstLine="522" w:firstLineChars="100"/>
        <w:jc w:val="center"/>
        <w:rPr>
          <w:rFonts w:hint="eastAsia" w:ascii="黑体" w:hAnsi="黑体" w:eastAsia="黑体" w:cs="黑体"/>
          <w:b/>
          <w:bCs/>
          <w:sz w:val="52"/>
          <w:szCs w:val="52"/>
        </w:rPr>
      </w:pPr>
      <w:r>
        <w:rPr>
          <w:rFonts w:hint="eastAsia" w:ascii="黑体" w:hAnsi="黑体" w:eastAsia="黑体" w:cs="黑体"/>
          <w:b/>
          <w:bCs/>
          <w:sz w:val="52"/>
          <w:szCs w:val="52"/>
          <w:lang w:val="en-US" w:eastAsia="zh-CN"/>
        </w:rPr>
        <w:t>2018年</w:t>
      </w:r>
      <w:r>
        <w:rPr>
          <w:rFonts w:hint="eastAsia" w:ascii="黑体" w:hAnsi="黑体" w:eastAsia="黑体" w:cs="黑体"/>
          <w:b/>
          <w:bCs/>
          <w:sz w:val="52"/>
          <w:szCs w:val="52"/>
        </w:rPr>
        <w:t>丽水市</w:t>
      </w:r>
      <w:r>
        <w:rPr>
          <w:rFonts w:hint="eastAsia" w:ascii="黑体" w:hAnsi="黑体" w:eastAsia="黑体" w:cs="黑体"/>
          <w:b/>
          <w:bCs/>
          <w:kern w:val="0"/>
          <w:sz w:val="52"/>
          <w:szCs w:val="52"/>
        </w:rPr>
        <w:t>污水处理服务支出（含代征手续费和差价补贴）</w:t>
      </w:r>
    </w:p>
    <w:p>
      <w:pPr>
        <w:spacing w:line="480" w:lineRule="auto"/>
        <w:jc w:val="center"/>
        <w:rPr>
          <w:rFonts w:hint="eastAsia" w:ascii="仿宋_GB2312" w:hAnsi="宋体" w:eastAsia="仿宋_GB2312" w:cs="Times New Roman"/>
          <w:sz w:val="52"/>
          <w:szCs w:val="52"/>
        </w:rPr>
      </w:pPr>
    </w:p>
    <w:p>
      <w:pPr>
        <w:spacing w:line="480" w:lineRule="auto"/>
        <w:ind w:firstLine="360" w:firstLineChars="100"/>
        <w:jc w:val="left"/>
        <w:rPr>
          <w:rFonts w:hint="eastAsia" w:ascii="仿宋_GB2312" w:hAnsi="宋体" w:eastAsia="仿宋_GB2312" w:cs="Times New Roman"/>
          <w:sz w:val="36"/>
          <w:szCs w:val="36"/>
        </w:rPr>
      </w:pP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绩</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效</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评</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价</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报</w:t>
      </w:r>
    </w:p>
    <w:p>
      <w:pPr>
        <w:spacing w:line="480" w:lineRule="auto"/>
        <w:jc w:val="center"/>
        <w:rPr>
          <w:rFonts w:hint="eastAsia" w:ascii="仿宋_GB2312" w:hAnsi="宋体" w:eastAsia="仿宋_GB2312" w:cs="Times New Roman"/>
          <w:sz w:val="36"/>
          <w:szCs w:val="36"/>
        </w:rPr>
      </w:pPr>
      <w:r>
        <w:rPr>
          <w:rFonts w:hint="eastAsia" w:ascii="宋体" w:eastAsia="宋体" w:cs="宋体"/>
          <w:b/>
          <w:kern w:val="0"/>
          <w:sz w:val="84"/>
          <w:szCs w:val="84"/>
        </w:rPr>
        <w:t>告</w:t>
      </w:r>
    </w:p>
    <w:p>
      <w:pPr>
        <w:spacing w:line="480" w:lineRule="auto"/>
        <w:ind w:firstLine="360" w:firstLineChars="100"/>
        <w:jc w:val="left"/>
        <w:rPr>
          <w:rFonts w:hint="eastAsia" w:ascii="仿宋_GB2312" w:hAnsi="宋体" w:eastAsia="仿宋_GB2312" w:cs="Times New Roman"/>
          <w:sz w:val="36"/>
          <w:szCs w:val="36"/>
        </w:rPr>
      </w:pPr>
    </w:p>
    <w:p>
      <w:pPr>
        <w:spacing w:line="480" w:lineRule="auto"/>
        <w:ind w:firstLine="360" w:firstLineChars="100"/>
        <w:jc w:val="left"/>
        <w:rPr>
          <w:rFonts w:hint="eastAsia" w:ascii="仿宋_GB2312" w:hAnsi="宋体" w:eastAsia="仿宋_GB2312" w:cs="Times New Roman"/>
          <w:sz w:val="36"/>
          <w:szCs w:val="36"/>
        </w:rPr>
      </w:pPr>
    </w:p>
    <w:p>
      <w:pPr>
        <w:rPr>
          <w:rFonts w:hint="eastAsia"/>
        </w:rPr>
      </w:pPr>
    </w:p>
    <w:p>
      <w:pPr>
        <w:rPr>
          <w:rFonts w:hint="eastAsia"/>
        </w:rPr>
      </w:pPr>
    </w:p>
    <w:p>
      <w:pPr>
        <w:jc w:val="center"/>
        <w:rPr>
          <w:rFonts w:hint="eastAsia" w:asciiTheme="minorEastAsia" w:hAnsiTheme="minorEastAsia"/>
          <w:b/>
          <w:sz w:val="44"/>
          <w:szCs w:val="44"/>
        </w:rPr>
      </w:pPr>
    </w:p>
    <w:p>
      <w:pPr>
        <w:jc w:val="center"/>
        <w:rPr>
          <w:rFonts w:hint="eastAsia" w:asciiTheme="minorEastAsia" w:hAnsiTheme="minorEastAsia" w:eastAsiaTheme="minorEastAsia" w:cstheme="minorEastAsia"/>
          <w:b/>
          <w:bCs/>
          <w:sz w:val="44"/>
          <w:szCs w:val="44"/>
        </w:rPr>
      </w:pPr>
      <w:r>
        <w:rPr>
          <w:rFonts w:hint="eastAsia" w:asciiTheme="minorEastAsia" w:hAnsiTheme="minorEastAsia" w:cstheme="minorEastAsia"/>
          <w:b/>
          <w:bCs/>
          <w:sz w:val="44"/>
          <w:szCs w:val="44"/>
          <w:lang w:val="en-US" w:eastAsia="zh-CN"/>
        </w:rPr>
        <w:t>2018年</w:t>
      </w:r>
      <w:r>
        <w:rPr>
          <w:rFonts w:hint="eastAsia" w:asciiTheme="minorEastAsia" w:hAnsiTheme="minorEastAsia" w:eastAsiaTheme="minorEastAsia" w:cstheme="minorEastAsia"/>
          <w:b/>
          <w:bCs/>
          <w:sz w:val="44"/>
          <w:szCs w:val="44"/>
        </w:rPr>
        <w:t>丽水市污水处理服务支出（含代征</w:t>
      </w:r>
    </w:p>
    <w:p>
      <w:pPr>
        <w:jc w:val="center"/>
        <w:rPr>
          <w:rFonts w:hint="eastAsia" w:asciiTheme="minorEastAsia" w:hAnsiTheme="minorEastAsia"/>
          <w:b/>
          <w:sz w:val="44"/>
          <w:szCs w:val="44"/>
        </w:rPr>
      </w:pPr>
      <w:r>
        <w:rPr>
          <w:rFonts w:hint="eastAsia" w:asciiTheme="minorEastAsia" w:hAnsiTheme="minorEastAsia" w:eastAsiaTheme="minorEastAsia" w:cstheme="minorEastAsia"/>
          <w:b/>
          <w:bCs/>
          <w:sz w:val="44"/>
          <w:szCs w:val="44"/>
        </w:rPr>
        <w:t>手续费和差价补贴）</w:t>
      </w:r>
      <w:r>
        <w:rPr>
          <w:rFonts w:hint="eastAsia" w:asciiTheme="minorEastAsia" w:hAnsiTheme="minorEastAsia"/>
          <w:b/>
          <w:sz w:val="44"/>
          <w:szCs w:val="44"/>
        </w:rPr>
        <w:t>评价报告</w:t>
      </w:r>
    </w:p>
    <w:p>
      <w:pPr>
        <w:spacing w:line="560" w:lineRule="exact"/>
        <w:ind w:right="-27" w:rightChars="-13"/>
        <w:rPr>
          <w:rFonts w:hint="eastAsia" w:ascii="仿宋" w:hAnsi="仿宋" w:eastAsia="仿宋"/>
          <w:sz w:val="28"/>
          <w:szCs w:val="28"/>
        </w:rPr>
      </w:pPr>
    </w:p>
    <w:p>
      <w:pPr>
        <w:spacing w:line="560" w:lineRule="exact"/>
        <w:ind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为了全面梳理2018年丽水市污水处理服务支出（含代征手续费和差价补贴）的实施情况和效果，不断提高财政资金使用绩效，为下一步政策制定提供决策依据，根据《中共丽水市委 丽水市人民政府关于全面实施预算绩效管理的若干意见》（丽委发〔2019〕24号）的相关规定，按照《丽水市财政局关于开展2019年市直财政重点绩效评价工作的通知》(丽财监督〔2019〕99号文件)》，我们接受丽水市财政局的委托，对由丽水市住房和城乡建设局主管，丽水市供排水有限责任公司实施的“2018年丽水市污水处理服务支出（含代征手续费和差价补贴）”进行了绩效评价。</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我们成立绩效评价小组，通过核查资金使用情况、项目数据采集、访谈、调研座谈、问卷调查等方法对该项目开展了绩效评价，现将评价情况报告如下：</w:t>
      </w:r>
    </w:p>
    <w:p>
      <w:pPr>
        <w:spacing w:line="560" w:lineRule="exact"/>
        <w:ind w:left="-153" w:leftChars="-73" w:right="-27" w:rightChars="-13" w:firstLine="562"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（一）项目概况</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1.项目基本情况</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丽水市污水处理服务支出（含代征手续费和差价补贴）项目由丽水市住房和城乡建设局作为主管单位，</w:t>
      </w:r>
      <w:r>
        <w:rPr>
          <w:rFonts w:hint="eastAsia" w:ascii="仿宋_GB2312" w:hAnsi="仿宋_GB2312" w:eastAsia="仿宋_GB2312" w:cs="仿宋_GB2312"/>
          <w:kern w:val="0"/>
          <w:sz w:val="28"/>
          <w:szCs w:val="28"/>
        </w:rPr>
        <w:t>丽水市供排水有限责任公司</w:t>
      </w:r>
      <w:r>
        <w:rPr>
          <w:rFonts w:hint="eastAsia" w:ascii="仿宋_GB2312" w:hAnsi="仿宋_GB2312" w:eastAsia="仿宋_GB2312" w:cs="仿宋_GB2312"/>
          <w:sz w:val="28"/>
          <w:szCs w:val="28"/>
        </w:rPr>
        <w:t>为实施运行单位。该项目包含中岸圩污水处理厂、水阁污水处理厂两个子项目，基本情况如下：</w:t>
      </w:r>
    </w:p>
    <w:p>
      <w:pPr>
        <w:spacing w:line="560" w:lineRule="exact"/>
        <w:ind w:left="-153" w:leftChars="-73" w:right="-27" w:rightChars="-13" w:firstLine="420" w:firstLineChars="150"/>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color w:val="000000"/>
          <w:sz w:val="28"/>
          <w:szCs w:val="28"/>
        </w:rPr>
        <w:t>中岸圩污水处理厂设计规模日处理污水5万吨，工程总投资8200万元，占地66.62亩，主要处理中心城区的生活污水。工程于2000年9月开工建设，2002年11月正式投入运行，2005年12月通过环保专项验收，2006年5月通过项目竣工验收。</w:t>
      </w:r>
    </w:p>
    <w:p>
      <w:pPr>
        <w:spacing w:line="560" w:lineRule="exact"/>
        <w:ind w:left="-153" w:leftChars="-73" w:right="-27" w:rightChars="-13"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工程采用DE氧化沟工艺，主要工艺流程为“格栅(去除悬浮物)+沉砂池(去除细小的砂粒)+厌氧池(厌氧水解)+氧化沟(曝气充氧，在氧化沟中利用微生物的新陈代谢来分解水中的污染物，从而达到净化水的目的)+二沉池(泥、水分离)+消毒池”。 </w:t>
      </w:r>
    </w:p>
    <w:p>
      <w:pPr>
        <w:spacing w:line="560" w:lineRule="exact"/>
        <w:ind w:left="-153" w:leftChars="-73" w:right="-27" w:rightChars="-13"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设计进水COD为320 mg/l，BOD为150 mg/l，NH3-N为20 mg/l，设计排放标准为《城镇污水处理厂污染物排放标准》GB18918-2002一级B标准，2018年5月开始，城镇污水处理统一执行GB18918-2002一级A标准。</w:t>
      </w:r>
    </w:p>
    <w:p>
      <w:pPr>
        <w:spacing w:line="560" w:lineRule="exact"/>
        <w:ind w:left="-153" w:leftChars="-73" w:right="-27" w:rightChars="-13" w:firstLine="420" w:firstLineChars="1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（2）水阁污水处理厂一期设计规模日处理污水5万吨，工程总投资17,700.00万元，工程占地150亩，主要处理水阁工业区废水（工业占70%）。该工程于2009年4月开工建设， 2011年12月通过项目竣工验收。工程采用改良型SBR处理工艺，即：细格栅+旋流沉砂池+调节、沉淀池+水解酸化池+改良型SBR反应池+机械反应池（絮凝池）+纤维滤池（D型滤池）+CLO</w:t>
      </w:r>
      <w:r>
        <w:rPr>
          <w:rFonts w:hint="eastAsia" w:ascii="仿宋_GB2312" w:hAnsi="仿宋_GB2312" w:eastAsia="仿宋_GB2312" w:cs="仿宋_GB2312"/>
          <w:color w:val="000000"/>
          <w:sz w:val="28"/>
          <w:szCs w:val="28"/>
          <w:vertAlign w:val="subscript"/>
        </w:rPr>
        <w:t>2</w:t>
      </w:r>
      <w:r>
        <w:rPr>
          <w:rFonts w:hint="eastAsia" w:ascii="仿宋_GB2312" w:hAnsi="仿宋_GB2312" w:eastAsia="仿宋_GB2312" w:cs="仿宋_GB2312"/>
          <w:color w:val="000000"/>
          <w:sz w:val="28"/>
          <w:szCs w:val="28"/>
        </w:rPr>
        <w:t>消毒池。设计主要进水指标：COD≤450mg/l；氨氮≤25mg/l；总氮≤35mg/l。设计出水排放执行《城镇污水处理厂污染物排放标准》GB18918-2002一级A标准。</w:t>
      </w:r>
    </w:p>
    <w:p>
      <w:pPr>
        <w:spacing w:line="560" w:lineRule="exact"/>
        <w:ind w:left="-153" w:leftChars="-73" w:right="-27" w:rightChars="-13"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为进一步提升水阁污水处理厂处理污染物负荷的能力，出厂水稳定达到一级A标准，水阁污水处理厂进行了提升改造，该工程于2017年5月11日开工， 8月30日新建主体结构建设完工并顺利完成满水试验。10月18日新建区域建筑物、南调节池改造、工艺管路及设备安装全部完成，并完成单机调试工作。2017年</w:t>
      </w:r>
      <w:r>
        <w:rPr>
          <w:rFonts w:hint="eastAsia" w:ascii="仿宋_GB2312" w:hAnsi="仿宋_GB2312" w:eastAsia="仿宋_GB2312" w:cs="仿宋_GB2312"/>
          <w:sz w:val="28"/>
          <w:szCs w:val="28"/>
        </w:rPr>
        <w:t>10</w:t>
      </w:r>
      <w:r>
        <w:rPr>
          <w:rFonts w:hint="eastAsia" w:ascii="仿宋_GB2312" w:hAnsi="仿宋_GB2312" w:eastAsia="仿宋_GB2312" w:cs="仿宋_GB2312"/>
          <w:color w:val="000000"/>
          <w:sz w:val="28"/>
          <w:szCs w:val="28"/>
        </w:rPr>
        <w:t>月27日完成新旧管道驳接，新系统通入污水开始试运行。</w:t>
      </w:r>
    </w:p>
    <w:p>
      <w:pPr>
        <w:spacing w:line="560" w:lineRule="exact"/>
        <w:ind w:left="-153" w:leftChars="-73" w:right="-27" w:rightChars="-13"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两个污水处理厂的固定和变动费用以及水阁污水处理厂提升改造后的污水处理成本已由丽水万邦天义会计师事务所有限公司审核，并出具丽万专审字[2017]019号、丽万专审字[2019]113号审核报告。另依据丽水市住房和城乡建设局与丽水市供排水有限责任公司签订的《污水处理费代征收协议》和《污水处理服务协议》，代征手续费为月污水处理费收费总额的2%。</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2.项目绩效目标</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打造“两山”样板，争当“双区”示范，加快建设美丽幸福新丽水，丽水市市政府对丽水市城区污水处理能力进行了全面提升，中岸圩污水处理厂出水水质执行《城镇污水处理厂污染物排放标准》（GB18918-2002）一级B标准，水阁污水处理厂出水水质执行《城镇污水处理厂污染物排放标准》（GB18918-2002）一级A标准。</w:t>
      </w:r>
    </w:p>
    <w:p>
      <w:pPr>
        <w:spacing w:line="560" w:lineRule="exact"/>
        <w:ind w:left="407" w:right="-27" w:rightChars="-1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3.项目执行情况 </w:t>
      </w:r>
    </w:p>
    <w:p>
      <w:pPr>
        <w:spacing w:line="560" w:lineRule="exact"/>
        <w:ind w:left="-153" w:leftChars="-73" w:right="-27" w:rightChars="-13" w:firstLine="420" w:firstLineChars="1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（1）2018年度水阁、中岸圩污水处理厂共处理污水量3,380.73万立方米。</w:t>
      </w:r>
    </w:p>
    <w:p>
      <w:pPr>
        <w:spacing w:line="560" w:lineRule="exact"/>
        <w:ind w:left="-153" w:leftChars="-73" w:right="-27" w:rightChars="-13" w:firstLine="420" w:firstLineChars="15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（2）2018年度水阁、中岸圩污水处理厂污水处理服务费账面列支5,226.68万元，其中：污水处理服务费支出4,851.48万元，代征手续费支出375.20万元。</w:t>
      </w:r>
    </w:p>
    <w:p>
      <w:pPr>
        <w:spacing w:line="560" w:lineRule="exact"/>
        <w:ind w:left="-153" w:leftChars="-73" w:right="-27" w:rightChars="-13"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按实际支出归口调整，2018年实际发生的污水处理服务费为5,864.97万元，其中：污水处理服务费支出4,395.91万元，代征手续费338.76万元，差价补贴1,130.30万元。（调整方法：2018年账面列支的污水处理服务费5,226.68万元，加上归属于2018年10月-12月发生的污水处理服务费在2019年支付的1,052.67万元，减去2018年支付归属于2017年污水处理服务费414.38万元。）</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（3）2018年丽水市供排水有限责任公司代征污水处理费5,191.42万元，当年经调整后的污水处理服务费（含代征手续费和差价补贴）5,864.97万元，收支差额为-673.55万元（具体项目收支明细见附件3）。</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4.项目的组织管理</w:t>
      </w:r>
    </w:p>
    <w:p>
      <w:pPr>
        <w:spacing w:line="560" w:lineRule="exact"/>
        <w:ind w:right="-27" w:rightChars="-13"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（1）项目组织情况</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该项目由丽水市住房和城乡建设局作为主管单位，</w:t>
      </w:r>
      <w:r>
        <w:rPr>
          <w:rFonts w:hint="eastAsia" w:ascii="仿宋_GB2312" w:hAnsi="仿宋_GB2312" w:eastAsia="仿宋_GB2312" w:cs="仿宋_GB2312"/>
          <w:kern w:val="0"/>
          <w:sz w:val="28"/>
          <w:szCs w:val="28"/>
        </w:rPr>
        <w:t>丽水市供排水有限责任公司</w:t>
      </w:r>
      <w:r>
        <w:rPr>
          <w:rFonts w:hint="eastAsia" w:ascii="仿宋_GB2312" w:hAnsi="仿宋_GB2312" w:eastAsia="仿宋_GB2312" w:cs="仿宋_GB2312"/>
          <w:sz w:val="28"/>
          <w:szCs w:val="28"/>
        </w:rPr>
        <w:t>为实施运行单位，</w:t>
      </w:r>
      <w:r>
        <w:rPr>
          <w:rFonts w:hint="eastAsia" w:ascii="仿宋_GB2312" w:hAnsi="仿宋_GB2312" w:eastAsia="仿宋_GB2312" w:cs="仿宋_GB2312"/>
          <w:kern w:val="0"/>
          <w:sz w:val="28"/>
          <w:szCs w:val="28"/>
        </w:rPr>
        <w:t>丽水市供排水有限责任公司</w:t>
      </w:r>
      <w:r>
        <w:rPr>
          <w:rFonts w:hint="eastAsia" w:ascii="仿宋_GB2312" w:hAnsi="仿宋_GB2312" w:eastAsia="仿宋_GB2312" w:cs="仿宋_GB2312"/>
          <w:sz w:val="28"/>
          <w:szCs w:val="28"/>
        </w:rPr>
        <w:t>下属的水阁污水处理厂与中岸圩污水处理厂具体承担污水处理业务。2017年3月，由丽水市住房和城乡建设局与丽水市供排水有限责任公司签订《污水处理服务协议》和《污水处理费代征收协议》。</w:t>
      </w:r>
    </w:p>
    <w:p>
      <w:pPr>
        <w:spacing w:line="560" w:lineRule="exact"/>
        <w:ind w:right="-27" w:rightChars="-13"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（2）项目管理情况 </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丽水市住房和城乡建设局对丽水市供排水有限责任公司处理服务进行监督管理并支付污水处理服务费。主要日常管理工作包括：</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A、审核污水处理服务费用的支付申请。丽水市住房和城乡建设局作为供排水行业管理部门，当收到丽水市供排水有限责任公司提交的污水处理服务费、代征手续费等的支付申请时，同时对污水处理量、污水出水水质进一步审核，审查明确并支付费用。</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B、监督污水处理厂稳定运行。对污水厂出水水质、处理水量等指标进行抽查和监督，并且邀请第三方专业机构对污水厂运行展开监管，确保污水处理厂稳定运行。</w:t>
      </w:r>
    </w:p>
    <w:p>
      <w:pPr>
        <w:spacing w:line="560" w:lineRule="exact"/>
        <w:ind w:right="-27" w:rightChars="-13" w:firstLine="420" w:firstLineChars="150"/>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C、积极推动调整污水处理服务费。根据水阁污水处理厂进行提升改造后，以丽水市万邦天义会计师事务所进行成本监审结果为基础，按照丽水市政府污水收支两条线相关会议纪要精神，后续签订污水处理服务补充协议。</w:t>
      </w:r>
      <w:r>
        <w:rPr>
          <w:rFonts w:hint="eastAsia" w:ascii="仿宋_GB2312" w:hAnsi="仿宋_GB2312" w:eastAsia="仿宋_GB2312" w:cs="仿宋_GB2312"/>
          <w:b/>
          <w:sz w:val="28"/>
          <w:szCs w:val="28"/>
        </w:rPr>
        <w:t xml:space="preserve">  </w:t>
      </w:r>
    </w:p>
    <w:p>
      <w:pPr>
        <w:spacing w:line="560" w:lineRule="exact"/>
        <w:ind w:right="-27" w:rightChars="-13" w:firstLine="284" w:firstLineChars="10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（二）项目绩效完成情况</w:t>
      </w:r>
    </w:p>
    <w:p>
      <w:pPr>
        <w:spacing w:line="560" w:lineRule="exact"/>
        <w:ind w:left="-153" w:leftChars="-73" w:right="-27" w:rightChars="-13" w:firstLine="576" w:firstLineChars="20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1.预算执行完成情况。</w:t>
      </w:r>
    </w:p>
    <w:p>
      <w:pPr>
        <w:tabs>
          <w:tab w:val="left" w:pos="2127"/>
        </w:tabs>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该项目2018年预算资金5,392.00万元，实际支出5,226.68万元，预算执行率96.93%。</w:t>
      </w:r>
    </w:p>
    <w:p>
      <w:pPr>
        <w:spacing w:line="560" w:lineRule="exact"/>
        <w:ind w:right="-27" w:rightChars="-13"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出厂水质达标符合预定目标，极大改善了城市及周围水质环境。由丽水市环境保护局委托丽水市环境监测中心站对中岸圩污水处理厂及水阁污水处理厂进行废水污染源监督检测，并出具监测报告。根据监测报告，丽水市城市（中岸）污水处理厂设计处理水量5万吨/日，监测当月实际处理水量均值5.30万吨/日，监测日实际处理水量5.51万吨/日，负荷110%。结论:丽水市城市（中岸）污水处理厂标排口废水监测:总磷的浓度平均值符合《城镇污水处理厂污染物排放标准》(GB18918-2002)中一级A标准/2005年12月31日前建设的要求，其余指标的浓度平均值均符合《城镇污水处理厂污染物排放标准》(GB18918-2002)中一级A标准的要求。丽水市水阁污水处理厂设计处理水量5万吨/日，监测当月实际处理水量均值4.00万吨/日，监测日实际处理水量4.42万吨/日，负荷88.4%。结论:丽水市水阁污水处理厂标排口废水本次监测各项指标的平均值均符合《城镇污水处理厂污染物排标准》(GB18918-2002)中一级A标准的要求，符合预定目标。</w:t>
      </w:r>
    </w:p>
    <w:p>
      <w:pPr>
        <w:spacing w:line="560" w:lineRule="exact"/>
        <w:ind w:right="-27" w:rightChars="-13" w:firstLine="562" w:firstLineChars="20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项目实施后，城市生活污水与水阁工业区的工业废水得到了有效治理，丽水瓯江水域及其下游流域污水得到较好治理，极大改善了丽水城市及周围水质环境，保护了秀山丽水的自然风光。</w:t>
      </w:r>
    </w:p>
    <w:p>
      <w:pPr>
        <w:spacing w:line="560" w:lineRule="exact"/>
        <w:ind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3.污水处理改善了居民生活环境和城市市容</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据丽水市供排水有限责任公司2018年1-12月供水量及污水处理量统计表，2018年城市污水处理总量为3,750.75万吨，水阁污水处理厂和中岸圩污水处理厂合计处理量3,380.73万吨，南明湖水质提升应急工程458.19万吨，纳爱斯公司自行处理23.72万吨，城区其他污水自行处理设施202.12万吨，污水处理完成率为90.13%。污水处理项目作为一项民生工程，项目实施后，有效地解决了丽水市城区生活污水及水阁工业区工业废水污染问题，降低城市污水和工业废水对环境的污染，保护了居民身体健康，改善了丽水市城区居民生活居住环境和城市市容，提高了城区人民生活幸福感。</w:t>
      </w:r>
    </w:p>
    <w:p>
      <w:pPr>
        <w:spacing w:line="560" w:lineRule="exact"/>
        <w:ind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4.污水处理量运行成本控制情况</w:t>
      </w:r>
    </w:p>
    <w:p>
      <w:pPr>
        <w:spacing w:line="560" w:lineRule="exact"/>
        <w:ind w:left="-153" w:leftChars="-73" w:right="-27" w:rightChars="-13" w:firstLine="436" w:firstLineChars="15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丽水市供排水有限责任公司没有制订污水处理成本控制标准，以水阁污水处理厂为例：2016年污水处理成本2,348.14万元（提升改造前），2018年污水处理成本5,082.16万元(提升改造后)，比2016年增加2,734.02万元，增长比例达116.43%。2016年污水处理单位成本为1.86元/立方米，2018年为3.65元/立方米，增长率为96.24%。丽水市住房和城乡建设局与丽水市供排水有限责任公司应分析成本增长原因并进一步采取相应的成本控制措施。</w:t>
      </w:r>
    </w:p>
    <w:p>
      <w:pPr>
        <w:spacing w:line="560" w:lineRule="exact"/>
        <w:ind w:left="-153" w:leftChars="-73" w:right="-27" w:rightChars="-13" w:firstLine="576" w:firstLineChars="20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5.其它绩效完成情况</w:t>
      </w:r>
    </w:p>
    <w:p>
      <w:pPr>
        <w:spacing w:line="560" w:lineRule="exact"/>
        <w:ind w:left="-153" w:leftChars="-73" w:right="-27" w:rightChars="-13" w:firstLine="576" w:firstLineChars="20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厂界噪声达标率、恶臭排放达标率、废气处理达标率、污泥处置达标率、水污染源去除率、绿化达标率基本达到预期目标。</w:t>
      </w:r>
    </w:p>
    <w:p>
      <w:pPr>
        <w:spacing w:line="560" w:lineRule="exact"/>
        <w:ind w:left="-153" w:leftChars="-73" w:right="-27" w:rightChars="-13" w:firstLine="576" w:firstLineChars="20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6.实地走访与问卷调查完成情况</w:t>
      </w:r>
    </w:p>
    <w:p>
      <w:pPr>
        <w:spacing w:line="560" w:lineRule="exact"/>
        <w:ind w:firstLine="425" w:firstLineChars="15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小组在2019年6月13日至8月10日期间，先后多次实地走访实施单位丽水市供排水有限公司及下属水阁、中岸两个污水处理厂，通过与多方了解、座谈、沟通，为本次评价设计了“丽水市污水处理运行项目调查问卷”一份：本问卷调查对象为污水处理受益对象，包括各企业和个人用户；本问卷调查目的是为了了解各受益对象对目前丽水市水质及空气环境的满意程度以及污水处理项目工作的实施情况及项目效益情况。</w:t>
      </w:r>
    </w:p>
    <w:p>
      <w:pPr>
        <w:spacing w:line="560" w:lineRule="exact"/>
        <w:ind w:firstLine="565" w:firstLine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问卷，我们收集了有效问卷52份，从反馈情况看，对项目实施效果持肯定态度的占了绝大多数，总体满意度较高，综合满意度75.05%。部分问卷对象对项目实施提出了意见，如：部分受调查对象反映工业开发区某些厂家还存在偷排污水的情况，他们认为除了政府投资改善现有的水质情况和建立良好的污水处理系统，对于一些严重污染水质的行为应当建立责任监管机制，对不按规定排放工业污水的企业，不仅要责令其改正并要加强处罚力度，要将所有的工业污水、生活污水纳入污水管网；部分水阁受调查对象指出，水阁的自来水煮开后喝起来有味道，希望政府在这方面有所改善等。</w:t>
      </w:r>
    </w:p>
    <w:p>
      <w:pPr>
        <w:ind w:firstLine="551" w:firstLineChars="196"/>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(三)绩效评价结论</w:t>
      </w:r>
      <w:r>
        <w:rPr>
          <w:rFonts w:hint="eastAsia" w:ascii="仿宋_GB2312" w:hAnsi="仿宋_GB2312" w:eastAsia="仿宋_GB2312" w:cs="仿宋_GB2312"/>
          <w:sz w:val="28"/>
          <w:szCs w:val="28"/>
        </w:rPr>
        <w:t xml:space="preserve">                                                                                          </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综上所述，结合丽水市供排水有限责任公司在实施过程中的具体情况，经项目评价组评价，评价结论为“良好”，项目评价得分汇总如下（评价得分、指标与评分标准详见附表）：</w:t>
      </w:r>
    </w:p>
    <w:p>
      <w:pPr>
        <w:spacing w:line="560" w:lineRule="exact"/>
        <w:ind w:left="-153" w:leftChars="-73" w:right="-27" w:rightChars="-13" w:firstLine="562" w:firstLineChars="200"/>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项目绩效得分汇总情况表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3"/>
        <w:gridCol w:w="2459"/>
        <w:gridCol w:w="3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指 标</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权重分值</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项目投入</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项目管理</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项目产出</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35</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项目效果</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25</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3"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合 计</w:t>
            </w:r>
          </w:p>
        </w:tc>
        <w:tc>
          <w:tcPr>
            <w:tcW w:w="2459"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w:t>
            </w:r>
          </w:p>
        </w:tc>
        <w:tc>
          <w:tcPr>
            <w:tcW w:w="3445" w:type="dxa"/>
            <w:noWrap w:val="0"/>
            <w:vAlign w:val="top"/>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83.76</w:t>
            </w:r>
          </w:p>
        </w:tc>
      </w:tr>
    </w:tbl>
    <w:p>
      <w:pPr>
        <w:spacing w:line="560" w:lineRule="exact"/>
        <w:ind w:right="-27" w:rightChars="-13" w:firstLine="424" w:firstLineChars="15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（四）评价发现的问题</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项目绩效目标单一，不够全面。该项目的绩效目标为：中岸圩污水处理厂出水水质执行《城镇污水处理厂污染物排放标准》（GB18918-2002）一级B标准,2018年5月后统一执行A标准；水阁污水处理厂出水水质执行《城镇污水处理厂污染物排放标准》（GB18918-2002）一级A标准。仅以两个污水处理厂的进水水质与出水水质作为考核标准，缺乏年污水处理量、污水处理成本控制、废气处理达标率、污泥处置等方面的绩效目标，绩效目标单一，不够全面。 </w:t>
      </w:r>
    </w:p>
    <w:p>
      <w:pPr>
        <w:spacing w:line="560" w:lineRule="exact"/>
        <w:ind w:left="-153" w:leftChars="-73" w:right="-27" w:rightChars="-13" w:firstLine="560" w:firstLineChars="200"/>
        <w:rPr>
          <w:rFonts w:hint="eastAsia" w:ascii="仿宋_GB2312" w:hAnsi="仿宋_GB2312" w:eastAsia="仿宋_GB2312" w:cs="仿宋_GB2312"/>
          <w:color w:val="FF0000"/>
          <w:sz w:val="28"/>
          <w:szCs w:val="28"/>
        </w:rPr>
      </w:pPr>
      <w:r>
        <w:rPr>
          <w:rFonts w:hint="eastAsia" w:ascii="仿宋_GB2312" w:hAnsi="仿宋_GB2312" w:eastAsia="仿宋_GB2312" w:cs="仿宋_GB2312"/>
          <w:sz w:val="28"/>
          <w:szCs w:val="28"/>
        </w:rPr>
        <w:t>2.项目管理制度不够全面，落实不够到位，管理考核机制有待进一步完善。丽水市住房和城乡建设局制定的财务管理制度有财务支出管理、专项资金管理，项目管理制定有《丽水市城镇污水厂运行监督管理办法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制度，但缺少针对水阁、中岸污水厂的资产管理、建设项目管理、合同管理等项目管理制度，同时对水阁、中岸污水处理项目管理考核机制不完整，平时监管不够到位或监管未形成记录，如市建设局提供的监管资料绝大部分为转发省建设厅文件，把市建设局对全市的污水处理管理职责与对丽水市供排水公司—水阁、中岸污水厂的监管等同起来</w:t>
      </w:r>
      <w:r>
        <w:rPr>
          <w:rFonts w:hint="eastAsia" w:ascii="仿宋_GB2312" w:hAnsi="仿宋_GB2312" w:eastAsia="仿宋_GB2312" w:cs="仿宋_GB2312"/>
          <w:color w:val="auto"/>
          <w:sz w:val="28"/>
          <w:szCs w:val="28"/>
        </w:rPr>
        <w:t>，未从项目完成的数量、质量、时效、成本、效益等方面，综合衡量污水处理服务支出资金的使用效果。</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提升改造工程后污水处理成本增长较快。根据丽水万邦天义会计师事务所2019年3月对水阁污水处理成本的审计结果（丽万专审字【2019】113号），对照2018年水阁污水处理厂提升改造前后成本，发现2015年污水处理年总成本为2,643.95万元，2016年为2,348.14万元（提升改造前），2018年5,082.16万元(提升改造后)，比2016年增加2,734.02万元，增长比例达116.43%,而污水处理总量仅增长10.38%。2016年污水处理单位成本1.86元/立方米，2018年为3.65元/立方米，比2016年增加1.79元/立方米，增长了96.24%。变动较大的项目如下（详细情况见附表3）：</w:t>
      </w:r>
    </w:p>
    <w:tbl>
      <w:tblPr>
        <w:tblStyle w:val="6"/>
        <w:tblW w:w="0" w:type="auto"/>
        <w:tblInd w:w="0" w:type="dxa"/>
        <w:tblLayout w:type="fixed"/>
        <w:tblCellMar>
          <w:top w:w="0" w:type="dxa"/>
          <w:left w:w="108" w:type="dxa"/>
          <w:bottom w:w="0" w:type="dxa"/>
          <w:right w:w="108" w:type="dxa"/>
        </w:tblCellMar>
      </w:tblPr>
      <w:tblGrid>
        <w:gridCol w:w="2688"/>
        <w:gridCol w:w="1390"/>
        <w:gridCol w:w="1275"/>
        <w:gridCol w:w="1275"/>
        <w:gridCol w:w="1277"/>
        <w:gridCol w:w="1242"/>
      </w:tblGrid>
      <w:tr>
        <w:tblPrEx>
          <w:tblCellMar>
            <w:top w:w="0" w:type="dxa"/>
            <w:left w:w="108" w:type="dxa"/>
            <w:bottom w:w="0" w:type="dxa"/>
            <w:right w:w="108" w:type="dxa"/>
          </w:tblCellMar>
        </w:tblPrEx>
        <w:trPr>
          <w:trHeight w:val="634" w:hRule="atLeast"/>
        </w:trPr>
        <w:tc>
          <w:tcPr>
            <w:tcW w:w="9147" w:type="dxa"/>
            <w:gridSpan w:val="6"/>
            <w:tcBorders>
              <w:top w:val="single" w:color="auto" w:sz="4" w:space="0"/>
              <w:left w:val="single" w:color="auto" w:sz="4" w:space="0"/>
              <w:bottom w:val="single" w:color="auto" w:sz="4" w:space="0"/>
              <w:right w:val="single" w:color="auto" w:sz="4" w:space="0"/>
            </w:tcBorders>
            <w:noWrap/>
            <w:vAlign w:val="bottom"/>
          </w:tcPr>
          <w:p>
            <w:pPr>
              <w:widowControl/>
              <w:ind w:right="250" w:rightChars="119"/>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sz w:val="28"/>
                <w:szCs w:val="28"/>
              </w:rPr>
              <w:t>水阁污水处理厂污水处理成本变动分析简表</w:t>
            </w:r>
          </w:p>
        </w:tc>
      </w:tr>
      <w:tr>
        <w:tblPrEx>
          <w:tblCellMar>
            <w:top w:w="0" w:type="dxa"/>
            <w:left w:w="108" w:type="dxa"/>
            <w:bottom w:w="0" w:type="dxa"/>
            <w:right w:w="108" w:type="dxa"/>
          </w:tblCellMar>
        </w:tblPrEx>
        <w:trPr>
          <w:trHeight w:val="366" w:hRule="atLeast"/>
        </w:trPr>
        <w:tc>
          <w:tcPr>
            <w:tcW w:w="9147" w:type="dxa"/>
            <w:gridSpan w:val="6"/>
            <w:tcBorders>
              <w:top w:val="single" w:color="auto" w:sz="4" w:space="0"/>
              <w:left w:val="single" w:color="auto" w:sz="4" w:space="0"/>
              <w:bottom w:val="single" w:color="auto" w:sz="4" w:space="0"/>
              <w:right w:val="single" w:color="auto" w:sz="4" w:space="0"/>
            </w:tcBorders>
            <w:noWrap/>
            <w:vAlign w:val="bottom"/>
          </w:tcPr>
          <w:p>
            <w:pPr>
              <w:widowControl/>
              <w:spacing w:line="560" w:lineRule="exact"/>
              <w:ind w:firstLine="1515" w:firstLineChars="539"/>
              <w:jc w:val="right"/>
              <w:rPr>
                <w:rFonts w:hint="eastAsia"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金额单位：万元</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项  目</w:t>
            </w:r>
          </w:p>
        </w:tc>
        <w:tc>
          <w:tcPr>
            <w:tcW w:w="1390" w:type="dxa"/>
            <w:tcBorders>
              <w:top w:val="single" w:color="auto" w:sz="4" w:space="0"/>
              <w:left w:val="nil"/>
              <w:bottom w:val="single" w:color="auto" w:sz="4" w:space="0"/>
              <w:right w:val="nil"/>
            </w:tcBorders>
            <w:noWrap/>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2015年(提升改前)</w:t>
            </w:r>
          </w:p>
        </w:tc>
        <w:tc>
          <w:tcPr>
            <w:tcW w:w="1275" w:type="dxa"/>
            <w:tcBorders>
              <w:top w:val="single" w:color="auto" w:sz="4" w:space="0"/>
              <w:left w:val="single" w:color="auto" w:sz="4" w:space="0"/>
              <w:bottom w:val="single" w:color="auto" w:sz="4" w:space="0"/>
              <w:right w:val="nil"/>
            </w:tcBorders>
            <w:noWrap/>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2016年(提升改前)</w:t>
            </w:r>
          </w:p>
        </w:tc>
        <w:tc>
          <w:tcPr>
            <w:tcW w:w="1275" w:type="dxa"/>
            <w:tcBorders>
              <w:top w:val="single" w:color="auto" w:sz="4" w:space="0"/>
              <w:left w:val="single" w:color="auto" w:sz="4" w:space="0"/>
              <w:bottom w:val="single" w:color="auto" w:sz="4" w:space="0"/>
              <w:right w:val="nil"/>
            </w:tcBorders>
            <w:noWrap/>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2018年(提升改造后）</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2018与2016年增减变动额</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2018与2016年相比增长率</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6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年污水处理总量</w:t>
            </w:r>
          </w:p>
          <w:p>
            <w:pPr>
              <w:widowControl/>
              <w:spacing w:line="6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（万立方米）</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1,281.52</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1,260.41</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1,391.25</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130.84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10.38%</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6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污水处理生产成本</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2,114.01</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1,853.61</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4,085.31</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2,231.70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120.40%</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6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其中变动较大的项目：</w:t>
            </w:r>
          </w:p>
          <w:p>
            <w:pPr>
              <w:widowControl/>
              <w:spacing w:line="6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1、药剂费</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129.05</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121.56</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1,392.72</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1,271.16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1,045.71%</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10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     2、固定资产折旧</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539.67</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541.06</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943.16</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402.10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74.32%</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100" w:lineRule="atLeast"/>
              <w:ind w:leftChars="-67" w:hanging="187" w:hangingChars="67"/>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二、营业税金及附加</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6.24</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12.72</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57.23</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44.51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349.92%</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100" w:lineRule="atLeas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三、实际承担的增值税</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15.91</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26.93</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383.61</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356.68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1,324.47%</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100" w:lineRule="atLeast"/>
              <w:ind w:firstLine="187" w:firstLineChars="67"/>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四、总成本</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2,643.95</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2,348.14</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5,082.16</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2,734.02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116.43%</w:t>
            </w:r>
          </w:p>
        </w:tc>
      </w:tr>
      <w:tr>
        <w:tblPrEx>
          <w:tblCellMar>
            <w:top w:w="0" w:type="dxa"/>
            <w:left w:w="108" w:type="dxa"/>
            <w:bottom w:w="0" w:type="dxa"/>
            <w:right w:w="108" w:type="dxa"/>
          </w:tblCellMar>
        </w:tblPrEx>
        <w:trPr>
          <w:trHeight w:val="721" w:hRule="atLeast"/>
        </w:trPr>
        <w:tc>
          <w:tcPr>
            <w:tcW w:w="2688" w:type="dxa"/>
            <w:tcBorders>
              <w:top w:val="single" w:color="auto" w:sz="4" w:space="0"/>
              <w:left w:val="single" w:color="auto" w:sz="4" w:space="0"/>
              <w:bottom w:val="single" w:color="auto" w:sz="4" w:space="0"/>
              <w:right w:val="single" w:color="auto" w:sz="4" w:space="0"/>
            </w:tcBorders>
            <w:noWrap/>
            <w:vAlign w:val="center"/>
          </w:tcPr>
          <w:p>
            <w:pPr>
              <w:widowControl/>
              <w:spacing w:line="100" w:lineRule="atLeast"/>
              <w:ind w:firstLine="187" w:firstLineChars="67"/>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五、单位污水处理成本（元/立方米)</w:t>
            </w:r>
          </w:p>
        </w:tc>
        <w:tc>
          <w:tcPr>
            <w:tcW w:w="1390" w:type="dxa"/>
            <w:tcBorders>
              <w:top w:val="single" w:color="auto" w:sz="4" w:space="0"/>
              <w:left w:val="nil"/>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2.06</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1.86</w:t>
            </w:r>
          </w:p>
        </w:tc>
        <w:tc>
          <w:tcPr>
            <w:tcW w:w="1275" w:type="dxa"/>
            <w:tcBorders>
              <w:top w:val="single" w:color="auto" w:sz="4" w:space="0"/>
              <w:left w:val="single" w:color="auto" w:sz="4" w:space="0"/>
              <w:bottom w:val="single" w:color="auto" w:sz="4" w:space="0"/>
              <w:right w:val="nil"/>
            </w:tcBorders>
            <w:noWrap/>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3.65 </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 xml:space="preserve">1.79 </w:t>
            </w:r>
          </w:p>
        </w:tc>
        <w:tc>
          <w:tcPr>
            <w:tcW w:w="12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96.24%</w:t>
            </w:r>
          </w:p>
        </w:tc>
      </w:tr>
    </w:tbl>
    <w:p>
      <w:pPr>
        <w:spacing w:line="560" w:lineRule="exact"/>
        <w:ind w:right="-27" w:rightChars="-1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从上表可以看出，污水处理成本上升的因素主要有：</w:t>
      </w:r>
    </w:p>
    <w:p>
      <w:pPr>
        <w:numPr>
          <w:ilvl w:val="0"/>
          <w:numId w:val="4"/>
        </w:numPr>
        <w:tabs>
          <w:tab w:val="left" w:pos="426"/>
          <w:tab w:val="left" w:pos="993"/>
        </w:tabs>
        <w:spacing w:line="560" w:lineRule="exact"/>
        <w:ind w:left="0"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药剂费  提升改造前2015年129.05万元，2016年121.56万元，两年使用药剂费量基本持平，提升改造后2018年为1,392.72万元，较2016年增加1,271.16万元，增长率达1,045.71%。经向丽水市住房和城乡建设局查询，回复为污水成本上升主要原因为提升改造后，水阁污水厂实际削减TN由20mg/L提高到55mg/L,需要投入大量的药剂。但经评价组实地走访丽水市供排水公司及水阁污水处理厂仓库，获取污水厂的药剂材料入库单和出库单，发现入库单与出库单均为仓库保管员一人所填制，在药剂材料的入库记账凭证后，未见药剂厂家的发货单及货运单，经查询水阁污水处理厂，无法提供上述第三方佐证的凭证，只提供了污水厂内部自行编制的生产性药剂现场交接单。另每月消耗的药剂费成本按照“月初量+本月入库量-月底盘存量”进行倒算，药剂流转过程是否有浪费、是否有其它非正常损失等情况难以分析。</w:t>
      </w:r>
    </w:p>
    <w:p>
      <w:pPr>
        <w:spacing w:line="560" w:lineRule="exact"/>
        <w:ind w:left="-141" w:leftChars="-67" w:right="-27" w:rightChars="-13" w:firstLine="58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Ｂ、固定资产折旧费  提升改造前2015年539.67万元，2016年541.06万元，提升改造后2018年943.16万元，较2016年增长率达74.32%。系提升改造工程增加固定资产计提的折旧费用。</w:t>
      </w:r>
    </w:p>
    <w:p>
      <w:pPr>
        <w:spacing w:line="560" w:lineRule="exact"/>
        <w:ind w:left="-141" w:leftChars="-67" w:right="-27" w:rightChars="-13" w:firstLine="58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Ｃ、营业税金及附加  提升改造前2015年6.24万元，2016年12.72万元，提升改造后2018年57.23万元，较2016年增长率达349.92%。其原因为2018年实际发生税金及附加16.47万元，根据测算的增值税核增额，核增税金及附加40.76万元，该税金及附加带有一定的估算性，并非完全为实际发生的税金及附加成本。</w:t>
      </w:r>
    </w:p>
    <w:p>
      <w:pPr>
        <w:spacing w:line="560" w:lineRule="exact"/>
        <w:ind w:left="-141" w:leftChars="-67" w:right="-27" w:rightChars="-13" w:firstLine="58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Ｄ、实际承担的增值税  提升改造前2015年15.91万元，2016年26.93万元，提升改造后2018年383.61万元，相较2016年增长率达1,324.47%。 2018年污水处理厂实际承担的增值税为46.39万元。根据丽水万邦天义会计师事务所污水处理成本审核报告显示，据2018年污水处理费服务收入38,304,623.68元，按16%测算全年增值税销项税额为6,138,739.79元，剔除2018年实际抵扣的提升工程支出的进项税税额3,372,168.84元，估算全年上缴增值税3,836,058.30元，核增3,372,168.84元。该成本的核定带有一定的估算性，并非完全为实际发生的增值税成本。另根据《资源综合利用产品和劳务增值税优惠目录》的通知（财税【2015】78号）规定，污水处理劳务符合“纳税人销售自产的资源综合利用产品和提供资源综合利用劳务，可享受增值税即征即退政策”的范畴，</w:t>
      </w:r>
      <w:r>
        <w:rPr>
          <w:rFonts w:hint="eastAsia" w:ascii="仿宋_GB2312" w:hAnsi="仿宋_GB2312" w:eastAsia="仿宋_GB2312" w:cs="仿宋_GB2312"/>
          <w:color w:val="auto"/>
          <w:sz w:val="28"/>
          <w:szCs w:val="28"/>
        </w:rPr>
        <w:t>即污水处理劳务产生的销项税，污水经加工处理后符合《城镇污水处理厂污染物排放标准》（GB18918—2002）规定的技术要求或达到相应的国家或地方水污染物排放标准中的直接排放限值，即可享受70%退税。因2016年12月14日丽水市供排水有限责任公司—水阁污水处理厂由于排放污水超过国家和地方规定的污染物排放标准，被丽水市环境保护局处以罚款34.4万元，根据上述通知规定，水阁污水厂项目自处罚决定下达的次月起36个月内不得享受增值税即征即退政策，按照正常推算，2020年1月开始，水阁污水厂项目即可恢复增值税即征即退70%的政策，而无</w:t>
      </w:r>
      <w:r>
        <w:rPr>
          <w:rFonts w:hint="eastAsia" w:ascii="仿宋_GB2312" w:hAnsi="仿宋_GB2312" w:eastAsia="仿宋_GB2312" w:cs="仿宋_GB2312"/>
          <w:sz w:val="28"/>
          <w:szCs w:val="28"/>
        </w:rPr>
        <w:t>须按2018年污水处理服务收入推算核增每年的增值税成本。</w:t>
      </w:r>
    </w:p>
    <w:p>
      <w:pPr>
        <w:spacing w:line="560" w:lineRule="exact"/>
        <w:ind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污水处理成本的上升，将加重使用公共供水的单位和个人用户的经济负担以及财政资金负担。</w:t>
      </w:r>
    </w:p>
    <w:p>
      <w:pPr>
        <w:spacing w:line="560" w:lineRule="exact"/>
        <w:ind w:right="-27" w:rightChars="-13" w:firstLine="424" w:firstLineChars="15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（五）改进措施与建议</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1.进一步完善绩效目标。丽水市住房和城乡建设局应根据《中共丽水市委 丽水市人民政府关于全面实施预算绩效管理的若干意见》（丽委发﹝2019﹞24号）精神，对财政预算安排的污水处理经费支出，科学合理地编制预算绩效目标。绩效目标应与部门工作职责、任务紧密相关，并做到方向明确、具体细化、切实可行，如对年度完成的污水处理量、污水处理成本控制、废气处理达标率、污泥处置率等设置量化考核指标,而不仅仅是考核污水处理进、出水水质指标。强化预算绩效目标管理和过程监管，充分发挥财政资金的使用效益。</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立健全各项内控管理制度。丽水市住房和城乡建设局应完善各项管理制度，结合管理需要建立健全水阁、中岸污水处理项目管理考核办法、污水处理项目专项资金使用管理办法、专项资金使用绩效评价制度以及各项内部管理制度。严格落实各项制度，完善管理考核机制，加强对市供排水公司及污水处理厂的实质性监管，避免管理流于形式。市供排水公司也应切实加强内部控制管理，积极采取措施堵塞管理漏洞，努力实现管理科学、规范、高效，综合发挥财政资金的使用绩效。</w:t>
      </w:r>
    </w:p>
    <w:p>
      <w:pPr>
        <w:spacing w:line="540" w:lineRule="exact"/>
        <w:ind w:left="-153" w:leftChars="-73" w:right="-27" w:rightChars="-13"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rPr>
        <w:t>3.探索更合理的成本管理新模式。建议丽水市住房和城乡建设局与丽水市供排水有限责任公司共同制定污水运行成本的控制措施。在目前采用的污水处理收支两条线管理的基础上，积极探索更合理的成本管理模式，比如方案一：对污水处理项目实行参照“公建民营”承包制，污水处理费收、支实行包干制，创造的利润按丽水市国资委与钱江水利投资比例分成。方案二：细化各项成本的考核标准，如果实施单位控制成本率达到一定标准，将给予相应奖励等措施。同时应特别加强药剂费成本的控制，积极研究污水处理药剂投入工艺，促使投入与产出效果相匹配。针对当前</w:t>
      </w:r>
      <w:r>
        <w:rPr>
          <w:rFonts w:hint="eastAsia" w:ascii="仿宋_GB2312" w:hAnsi="仿宋_GB2312" w:eastAsia="仿宋_GB2312" w:cs="仿宋_GB2312"/>
          <w:color w:val="auto"/>
          <w:sz w:val="28"/>
          <w:szCs w:val="28"/>
        </w:rPr>
        <w:t>药剂费成本增长过快问题，建议市住建局组织开展相关的专项检查，全面了解和掌握成本增长原因，有的放矢地出台相应的管理举措。</w:t>
      </w:r>
    </w:p>
    <w:p>
      <w:pPr>
        <w:spacing w:line="560" w:lineRule="exact"/>
        <w:ind w:left="-153" w:leftChars="-73" w:right="-27" w:rightChars="-13"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出台污水处理药剂费使用标准。目前污水处理厂执行的成本标准为《浙江省污水处理定价成本监审办法》（浙价成〔2018〕160号），第三章定价成本核定有针对职工工资及福利费、固定资产、无形资产折旧及摊销、修理费、管理费、财务利息等成本项目的量化规定，但对构成污水处理成本的重要因素—药剂费，没有具体的规定量化标准，建议增加单位污水处理量药剂费的使用标准。</w:t>
      </w:r>
    </w:p>
    <w:p>
      <w:pPr>
        <w:spacing w:line="560" w:lineRule="exact"/>
        <w:ind w:left="-141" w:leftChars="-67" w:firstLine="560" w:firstLineChars="200"/>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p>
      <w:pPr>
        <w:spacing w:line="360" w:lineRule="auto"/>
        <w:ind w:firstLine="560" w:firstLineChars="200"/>
        <w:jc w:val="left"/>
        <w:rPr>
          <w:rFonts w:hint="eastAsia" w:ascii="仿宋_GB2312" w:hAnsi="仿宋_GB2312" w:eastAsia="仿宋_GB2312" w:cs="仿宋_GB2312"/>
          <w:kern w:val="0"/>
          <w:sz w:val="28"/>
          <w:szCs w:val="28"/>
        </w:rPr>
      </w:pP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浙江中企华会计师事务所有限公司</w:t>
      </w:r>
      <w:r>
        <w:rPr>
          <w:rFonts w:hint="eastAsia" w:ascii="仿宋_GB2312" w:eastAsia="仿宋_GB2312" w:cs="仿宋_GB2312"/>
          <w:kern w:val="0"/>
          <w:sz w:val="28"/>
          <w:szCs w:val="28"/>
        </w:rPr>
        <w:t>）</w:t>
      </w: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p>
      <w:pPr>
        <w:spacing w:line="480" w:lineRule="auto"/>
        <w:ind w:firstLine="522" w:firstLineChars="100"/>
        <w:jc w:val="center"/>
        <w:rPr>
          <w:rFonts w:hint="eastAsia" w:ascii="黑体" w:hAnsi="黑体" w:eastAsia="黑体" w:cs="黑体"/>
          <w:b/>
          <w:bCs/>
          <w:sz w:val="52"/>
          <w:szCs w:val="52"/>
        </w:rPr>
      </w:pPr>
    </w:p>
    <w:p>
      <w:pPr>
        <w:spacing w:line="480" w:lineRule="auto"/>
        <w:ind w:firstLine="522" w:firstLineChars="100"/>
        <w:jc w:val="center"/>
        <w:rPr>
          <w:rFonts w:hint="eastAsia" w:ascii="黑体" w:hAnsi="黑体" w:eastAsia="黑体" w:cs="黑体"/>
          <w:b/>
          <w:bCs/>
          <w:sz w:val="52"/>
          <w:szCs w:val="52"/>
        </w:rPr>
      </w:pPr>
      <w:r>
        <w:rPr>
          <w:rFonts w:hint="eastAsia" w:ascii="黑体" w:hAnsi="黑体" w:eastAsia="黑体" w:cs="黑体"/>
          <w:b/>
          <w:bCs/>
          <w:kern w:val="0"/>
          <w:sz w:val="52"/>
          <w:szCs w:val="52"/>
        </w:rPr>
        <w:t>2018</w:t>
      </w:r>
      <w:r>
        <w:rPr>
          <w:rFonts w:hint="eastAsia" w:ascii="黑体" w:hAnsi="黑体" w:eastAsia="黑体" w:cs="黑体"/>
          <w:b/>
          <w:bCs/>
          <w:kern w:val="0"/>
          <w:sz w:val="52"/>
          <w:szCs w:val="52"/>
          <w:lang w:eastAsia="zh-CN"/>
        </w:rPr>
        <w:t>年</w:t>
      </w:r>
      <w:r>
        <w:rPr>
          <w:rFonts w:hint="eastAsia" w:ascii="黑体" w:hAnsi="黑体" w:eastAsia="黑体" w:cs="黑体"/>
          <w:b/>
          <w:bCs/>
          <w:sz w:val="52"/>
          <w:szCs w:val="52"/>
        </w:rPr>
        <w:t>丽水市</w:t>
      </w:r>
      <w:r>
        <w:rPr>
          <w:rFonts w:hint="eastAsia" w:ascii="黑体" w:hAnsi="黑体" w:eastAsia="黑体" w:cs="黑体"/>
          <w:b/>
          <w:bCs/>
          <w:kern w:val="0"/>
          <w:sz w:val="52"/>
          <w:szCs w:val="52"/>
        </w:rPr>
        <w:t>全国轮滑锦标赛项目政府购买服务项目</w:t>
      </w:r>
    </w:p>
    <w:p>
      <w:pPr>
        <w:spacing w:line="480" w:lineRule="auto"/>
        <w:jc w:val="center"/>
        <w:rPr>
          <w:rFonts w:hint="eastAsia" w:ascii="仿宋_GB2312" w:hAnsi="宋体" w:eastAsia="仿宋_GB2312" w:cs="Times New Roman"/>
          <w:sz w:val="52"/>
          <w:szCs w:val="52"/>
        </w:rPr>
      </w:pPr>
    </w:p>
    <w:p>
      <w:pPr>
        <w:spacing w:line="480" w:lineRule="auto"/>
        <w:ind w:firstLine="360" w:firstLineChars="100"/>
        <w:jc w:val="left"/>
        <w:rPr>
          <w:rFonts w:hint="eastAsia" w:ascii="仿宋_GB2312" w:hAnsi="宋体" w:eastAsia="仿宋_GB2312" w:cs="Times New Roman"/>
          <w:sz w:val="36"/>
          <w:szCs w:val="36"/>
        </w:rPr>
      </w:pP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绩</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效</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评</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价</w:t>
      </w:r>
    </w:p>
    <w:p>
      <w:pPr>
        <w:autoSpaceDE w:val="0"/>
        <w:autoSpaceDN w:val="0"/>
        <w:adjustRightInd w:val="0"/>
        <w:jc w:val="center"/>
        <w:rPr>
          <w:rFonts w:hint="eastAsia" w:ascii="宋体" w:eastAsia="宋体" w:cs="宋体"/>
          <w:b/>
          <w:kern w:val="0"/>
          <w:sz w:val="84"/>
          <w:szCs w:val="84"/>
        </w:rPr>
      </w:pPr>
      <w:r>
        <w:rPr>
          <w:rFonts w:hint="eastAsia" w:ascii="宋体" w:eastAsia="宋体" w:cs="宋体"/>
          <w:b/>
          <w:kern w:val="0"/>
          <w:sz w:val="84"/>
          <w:szCs w:val="84"/>
        </w:rPr>
        <w:t>报</w:t>
      </w:r>
    </w:p>
    <w:p>
      <w:pPr>
        <w:spacing w:line="480" w:lineRule="auto"/>
        <w:jc w:val="center"/>
        <w:rPr>
          <w:rFonts w:hint="eastAsia" w:ascii="仿宋_GB2312" w:hAnsi="宋体" w:eastAsia="仿宋_GB2312" w:cs="Times New Roman"/>
          <w:sz w:val="36"/>
          <w:szCs w:val="36"/>
        </w:rPr>
      </w:pPr>
      <w:r>
        <w:rPr>
          <w:rFonts w:hint="eastAsia" w:ascii="宋体" w:eastAsia="宋体" w:cs="宋体"/>
          <w:b/>
          <w:kern w:val="0"/>
          <w:sz w:val="84"/>
          <w:szCs w:val="84"/>
        </w:rPr>
        <w:t>告</w:t>
      </w:r>
    </w:p>
    <w:p>
      <w:pPr>
        <w:spacing w:line="480" w:lineRule="auto"/>
        <w:ind w:firstLine="360" w:firstLineChars="100"/>
        <w:jc w:val="left"/>
        <w:rPr>
          <w:rFonts w:hint="eastAsia" w:ascii="仿宋_GB2312" w:hAnsi="宋体" w:eastAsia="仿宋_GB2312" w:cs="Times New Roman"/>
          <w:sz w:val="36"/>
          <w:szCs w:val="36"/>
        </w:rPr>
      </w:pPr>
    </w:p>
    <w:p>
      <w:pPr>
        <w:spacing w:line="480" w:lineRule="auto"/>
        <w:ind w:firstLine="360" w:firstLineChars="100"/>
        <w:jc w:val="left"/>
        <w:rPr>
          <w:rFonts w:hint="eastAsia" w:ascii="仿宋_GB2312" w:hAnsi="宋体" w:eastAsia="仿宋_GB2312" w:cs="Times New Roman"/>
          <w:sz w:val="36"/>
          <w:szCs w:val="36"/>
        </w:rPr>
      </w:pPr>
    </w:p>
    <w:p>
      <w:pPr>
        <w:rPr>
          <w:rFonts w:hint="eastAsia"/>
        </w:rPr>
      </w:pPr>
    </w:p>
    <w:p>
      <w:pPr>
        <w:rPr>
          <w:rFonts w:hint="eastAsia"/>
        </w:rPr>
      </w:pPr>
    </w:p>
    <w:p>
      <w:pPr>
        <w:jc w:val="center"/>
        <w:rPr>
          <w:rFonts w:hint="eastAsia" w:asciiTheme="minorEastAsia" w:hAnsiTheme="minorEastAsia" w:eastAsiaTheme="minorEastAsia" w:cstheme="minorEastAsia"/>
          <w:b/>
          <w:bCs/>
          <w:kern w:val="0"/>
          <w:sz w:val="44"/>
          <w:szCs w:val="44"/>
        </w:rPr>
      </w:pPr>
    </w:p>
    <w:p>
      <w:pPr>
        <w:jc w:val="center"/>
        <w:rPr>
          <w:rFonts w:hint="eastAsia" w:asciiTheme="minorEastAsia" w:hAnsiTheme="minorEastAsia" w:eastAsiaTheme="minorEastAsia" w:cstheme="minorEastAsia"/>
          <w:b/>
          <w:bCs/>
          <w:kern w:val="0"/>
          <w:sz w:val="44"/>
          <w:szCs w:val="44"/>
        </w:rPr>
      </w:pPr>
      <w:r>
        <w:rPr>
          <w:rFonts w:hint="eastAsia" w:asciiTheme="minorEastAsia" w:hAnsiTheme="minorEastAsia" w:eastAsiaTheme="minorEastAsia" w:cstheme="minorEastAsia"/>
          <w:b/>
          <w:bCs/>
          <w:kern w:val="0"/>
          <w:sz w:val="44"/>
          <w:szCs w:val="44"/>
        </w:rPr>
        <w:t>2018</w:t>
      </w:r>
      <w:r>
        <w:rPr>
          <w:rFonts w:hint="eastAsia" w:asciiTheme="minorEastAsia" w:hAnsiTheme="minorEastAsia" w:cstheme="minorEastAsia"/>
          <w:b/>
          <w:bCs/>
          <w:kern w:val="0"/>
          <w:sz w:val="44"/>
          <w:szCs w:val="44"/>
          <w:lang w:eastAsia="zh-CN"/>
        </w:rPr>
        <w:t>年</w:t>
      </w:r>
      <w:r>
        <w:rPr>
          <w:rFonts w:hint="eastAsia" w:asciiTheme="minorEastAsia" w:hAnsiTheme="minorEastAsia" w:eastAsiaTheme="minorEastAsia" w:cstheme="minorEastAsia"/>
          <w:b/>
          <w:bCs/>
          <w:kern w:val="0"/>
          <w:sz w:val="44"/>
          <w:szCs w:val="44"/>
        </w:rPr>
        <w:t>全国轮滑锦标赛项目政府购买服务</w:t>
      </w:r>
    </w:p>
    <w:p>
      <w:pPr>
        <w:jc w:val="center"/>
        <w:rPr>
          <w:rFonts w:hint="eastAsia" w:asciiTheme="minorEastAsia" w:hAnsiTheme="minorEastAsia"/>
          <w:b/>
          <w:sz w:val="44"/>
          <w:szCs w:val="44"/>
        </w:rPr>
      </w:pPr>
      <w:r>
        <w:rPr>
          <w:rFonts w:hint="eastAsia" w:asciiTheme="minorEastAsia" w:hAnsiTheme="minorEastAsia" w:eastAsiaTheme="minorEastAsia" w:cstheme="minorEastAsia"/>
          <w:b/>
          <w:bCs/>
          <w:kern w:val="0"/>
          <w:sz w:val="44"/>
          <w:szCs w:val="44"/>
        </w:rPr>
        <w:t>项目</w:t>
      </w:r>
      <w:r>
        <w:rPr>
          <w:rFonts w:hint="eastAsia" w:asciiTheme="minorEastAsia" w:hAnsiTheme="minorEastAsia"/>
          <w:b/>
          <w:sz w:val="44"/>
          <w:szCs w:val="44"/>
        </w:rPr>
        <w:t>评价报告</w:t>
      </w:r>
    </w:p>
    <w:p>
      <w:pPr>
        <w:jc w:val="center"/>
        <w:rPr>
          <w:rFonts w:hint="eastAsia" w:asciiTheme="minorEastAsia" w:hAnsiTheme="minorEastAsia"/>
          <w:b/>
          <w:sz w:val="44"/>
          <w:szCs w:val="44"/>
        </w:rPr>
      </w:pP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为深入贯彻《中共中央国务院关于全面实施预算绩效管理的意见》（中发[2018]34号文件）及《中共浙江省委 浙江省人民政府关于全面落实预算绩效管理的实施意见》（浙委发[2018]71号文件）精神，根据《中共丽水市委 丽水市人民政府关于全面实施预算绩效管理的若干意见》（丽委发[2019]24号文件）和丽水市人民政府办公室《关于印发向社会力量购买服务管理办法的通知》（丽政办发〔2014〕162号）文件规定，结合《丽水市财政局关于开展2019年市直财政重点绩效评价工作的通知》（丽财监督〔2019〕99号）文件要求，我们接受丽水市财政局的委托，组织成立绩效评价组，对丽水市体育局实施的“2018全国轮滑锦标赛” 政府购买服务项目进行绩效评价。</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过对“2018全国轮滑锦标赛”项目进行绩效评价，了解和掌握轮滑赛事政府购买服务项目的决策过程、产出效益的具体情况，评价其项目资金安排的科学性、合理性、规范性和资金使用成效，及时总结项目管理经验，完善项目管理办法，提高项目管理水平和资金的使用效益。</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我们的评价是依据《浙江省财政支出绩效评价实施办法》（浙财绩效字〔2009〕5号</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rPr>
        <w:t>文件的原则性要求，结合项目实际情况制定绩效评价工作方案及“2018全国轮滑锦标赛”项目政府购买服务评价指标体系，在征求市财政局和相关专家意见后，对绩效评价工作方案和指标体系进行补充和完善。评价组根据完善后的工作方案开展本次评价工作，通过查阅资料、组织座谈、询问查证、问卷调查、计算分析等方式，在收集、汇总、整理、分析有关资料的基础上，对照“2018全国轮滑锦标赛” 政府购买服务项目评价指标体系进行评议与打分，形成绩效评价报告。现将评价情况报告如下：</w:t>
      </w:r>
    </w:p>
    <w:p>
      <w:pPr>
        <w:numPr>
          <w:ilvl w:val="0"/>
          <w:numId w:val="5"/>
        </w:numPr>
        <w:spacing w:before="156" w:line="540" w:lineRule="exact"/>
        <w:ind w:left="1417" w:hanging="856"/>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项目基本情况</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1、项目概况</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2018年6月20日《中国轮滑协会关于同意承办2018年全国轮滑锦标赛的函》批复同意丽水市体育局承办2018全国轮滑锦标赛，并签订2018年全国轮滑锦标赛合作协议书。</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2018全国轮滑锦标赛由国家体育总局社会体育指导中心、中国轮滑协会主办，浙江省体育局、丽水市人民政府承办，浙江省轮滑协会、丽水市体育局协办。丽水市轮滑协会、丽水极速文化传播有限公司为本次赛事的支持单位。</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2、项目内容</w:t>
      </w:r>
    </w:p>
    <w:p>
      <w:pPr>
        <w:spacing w:line="540" w:lineRule="exact"/>
        <w:ind w:firstLine="560"/>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rPr>
        <w:t>2018全国轮滑锦标赛是国内首次尝试将10大轮滑项目汇集在一起，以全国最高规格锦标赛的形式进行呈现，包括178个竞赛项目。本赛事于2018年8月8日-8月15日举行，为期8天。比赛共设速度轮滑、自由式轮滑、单排轮滑球、双排轮滑球、轮滑阻拦、轮滑回转、高山速降、花样轮滑、极限轮滑以及滑板共计10大项目。共设四个赛区，其中，速度轮滑、极限轮滑以及滑板三项在丽水市轮滑场赛区举行；自由式轮滑在纳爱斯广场赛区举行；花样轮滑、单排轮滑球、双排轮滑球、轮滑阻拦在丽水市体育中心体育馆（莲花馆赛区）举行；高山速降以及轮滑回转在白云山赛区举行。比赛实际参赛运动员2572人，领</w:t>
      </w:r>
      <w:r>
        <w:rPr>
          <w:rFonts w:hint="eastAsia" w:ascii="仿宋_GB2312" w:hAnsi="仿宋_GB2312" w:eastAsia="仿宋_GB2312" w:cs="仿宋_GB2312"/>
          <w:color w:val="auto"/>
          <w:sz w:val="28"/>
          <w:szCs w:val="28"/>
        </w:rPr>
        <w:t>队343人，教练员341人，裁判员130人。</w:t>
      </w:r>
    </w:p>
    <w:p>
      <w:pPr>
        <w:spacing w:line="540" w:lineRule="exact"/>
        <w:ind w:firstLine="562"/>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3、项目绩效目标</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rPr>
        <w:t>圆满完成比赛，并通过举办全国轮滑锦标赛，提高丽水市在轮滑运动发展上的知名度和影响力，以轮滑项目带动全民健身积极性和参与热情。将轮滑作为全民健身方式，促进</w:t>
      </w:r>
      <w:r>
        <w:rPr>
          <w:rFonts w:hint="eastAsia" w:ascii="仿宋_GB2312" w:hAnsi="仿宋_GB2312" w:eastAsia="仿宋_GB2312" w:cs="仿宋_GB2312"/>
          <w:sz w:val="28"/>
          <w:szCs w:val="28"/>
        </w:rPr>
        <w:t>当地居民全民健身氛围形成。体育赛事产业和旅游产业高度关联，加强体育旅游产业和体育赛事、景点设施融合发展，带动周边景点旅游人流量。</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（二）项目绩效分析</w:t>
      </w:r>
    </w:p>
    <w:p>
      <w:pPr>
        <w:spacing w:line="540" w:lineRule="exact"/>
        <w:ind w:firstLine="7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1、项目决策指标分析</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（1）项目立项情况</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购买服务依据充分、立项规范、信息公开。丽水市体育局绩效目标合理、决策依据充分、立项规范，依据主要包括：《丽财预（2018）84号》、《丽水市人民政府关于全面推进预算绩效管理的实施意见》（丽政发[2014]70号）、《丽水市政府向社会力量购买服务指导目录（2017年度）》、中国轮滑协会批复函，丽财采确〔2018〕533号市级政府采购（分散采购委托中介）预算执行确认书，委托浙江建航工程咨询有限公司对本次赛事运营承办方进行公开招标。最终圣巴（上海）文化传播有限公司（以下简称“圣巴文化公司”）以341.81万元金额中标，成为本次赛事的独家运营单位。市场运营由起步股份有限公司为本次赛事总冠名单位。</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（2）项目目标情况</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绩效目标明确，制定了总体目标，合理但不够细化、量化。如获得丽水市财政局拨付“2018年大型体育赛事（体育彩票公益金）”专项资金的支持，但预期产出效益和效果未量化。</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2、项目过程指标分析</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（1）财务管理</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丽水市体育局按照财务、预算管理制度，依据《丽水市体育业务经费用使用管理办法》（丽体〔2016〕83号）、《丽水市体育局财务内部控制制度》（丽体〔2016〕27号），对专项资金的项目实施、付款等环节进行管理和监督。</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赛事年初预算共计392余万，为“大型体育赛事（体育彩票公益金）”专项资金所包含内容，项目实际支出382.99万元，比预算节约9.66万元，其中，赛事承办费341.80万元，市内宣传费11.19万元，国家体育总局社体中心轮滑比赛技术服务费30.00万元（社体中心补助办赛经费30.00万元）。</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（2）项目管理</w:t>
      </w:r>
    </w:p>
    <w:p>
      <w:pPr>
        <w:spacing w:line="540" w:lineRule="exact"/>
        <w:ind w:firstLine="7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体育局制定了较完善的采购制度，本项目采购通过浙江政府采购网公开发布信息采购及公布采购结果，体育局官方网站及时公布赛事相关信息。通过签订协议对赛事承办方进行监控，但无针对承办单位后续的监督措施。市体育局成立了2018年全国轮滑锦标赛组委会对本赛事进行组织管理，赛事运营单位圣巴文化公司组织了优秀的赛事运营人员对本赛事进行运营管理，确保赛事顺利进行。</w:t>
      </w:r>
    </w:p>
    <w:p>
      <w:pPr>
        <w:spacing w:line="540" w:lineRule="exact"/>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b/>
          <w:sz w:val="28"/>
          <w:szCs w:val="28"/>
        </w:rPr>
        <w:t xml:space="preserve">  3、项目产出指标分析</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（1）项目产出数量及时效</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2018全国轮滑锦标赛于2018年8月8日-8月15日如期举行，项目及时完成。实际参赛运动员2572人，领队343人，教练员341人，裁判员130人，实际参赛运动员达到预计人数（2600人）的98.92%。赛事共完成10大项目178个子项目，在4个赛区分别进行，本次比赛共决出178枚金牌，奖牌榜排名前三的分别是江苏代表团139枚，浙江代表团127枚，上海代表团76枚，赛事实际完成率100%。</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（2）项目产出质量</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赛事过程中严把质量关，活动场地采用全封闭管理，运动员、裁判员、工作人员均需凭证件入场。市体育局具体负责聘请专业安保人员50名，市轮滑协会组织50名安保工作人员配合公安、安保公司人员进行维护现场内外的秩序，市公安局负责活动期间周边道路的交通安全。由市人民医院、市中心医院等负责赛事医疗救护，建立赛事绿色通道。成立赛事应急领导小组，建立突发事件的信息收集、报告、督办和反馈机制，做到统一指挥、统一行动，确保赛事顺利进行。</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通过公开招标，中标单位圣巴文化附有详细的报价书，项目实施完成后，圣巴文化提供了《2018丽水全国全项目轮滑锦标赛财务收支决算表》，但未经第三方中介机构进行决算审计报告，故实际成本差异率无法准确计算。</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4、项目效益指标分析</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（1）项目效益</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济效益和社会效益良好，可持续性较强。赛事期间大量参赛人员及随行人员、观众等相关群体涌入丽水，市区各主要酒店收入和入住率均显著增长，给本地酒店餐饮带来不错的经济效益。旅游景点诸如仙都、云和、遂昌、冒险岛水上乐园等接待了许多比赛间隙的选手观光旅游。如莲城宾馆营业额2017年8月约244万，2018年7月约198万，2018年8月约259万，同比增长6.15%，环比增长30.81%；飞达国际大酒店营业额2017年8月约91万，2018年7月约99万，2018年8月约117万，同比增长28.57%，环比增长18.18%。同时酒店管理人员也提出了他们的建议，希望丽水能多举办这类大型赛事，既提升了城市的知名度又间接提高了其他行业的收入。</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（2）满意度</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过满意度调查显示，总体满意度较高。本次满意度调查共设计了五份问卷，调查对象为酒店管理人员、社会公众、运动员、青少年、项目主管单位，收回有效问卷167份，其中：酒店管理人员15份、社会公众49份、运动员42份、青少年31份、项目主管单位30份。从反馈情况看，总体满意度较高。对酒店管理人员的问卷中，100%的酒店管理人员认为举办此类赛事会提高酒店收入、带动全民健身意识、符合城市发展需要；对社会公众的问卷中，46%的公众对赛事管理满意，49%的公众认为举办此类赛事符合城市发展需要，35%的公众未听说过此类赛事，29%的公众认为本赛事宣传力度不够；对运动员的问卷中，82%的运动员对赛事环境及赛程满意，2%的运动员觉得赛程和赛场还需要改进，72%的运动员对丽水留下非常好的印象；对青少年的问卷中，87%的青少年为举办此类赛事会带动全民健身意识、会提升酒店餐饮旅游收入及城市知名度；对项目主管单位的问卷中，99.8%的单位管理人员对赛事管理及环境感到满意，认为举办此类赛事会带来很好的社会经济效益、带动全民健身意识、符合城市发展需要。</w:t>
      </w:r>
    </w:p>
    <w:p>
      <w:pPr>
        <w:spacing w:before="156" w:line="540" w:lineRule="exact"/>
        <w:ind w:left="561"/>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（三）项目成效</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公共体育服务效能显著提高。通过政府采购、委托管理等市场化手段，引入社会力量参与到体育赛事公共服务，有效降低了采购成本和运作费用，提高了资源配置的质量和效率，让有限的财政资金发挥出更大的效益。</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2、公共服务更加专业化。通过引入社会力量参与举办赛事，由于圣巴文化公司承接过多次赛事，具有优秀的团队力量，专业性更强，经验更丰富，保证了轮滑赛事的举办质量和时效。</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购买服务对资源进行了良好配置。依托社会力量的众多信息资源，通过招幕信息公开，让更多的潜在人员知晓赛事，参与赛事，宣传带动丽水市酒店、餐饮、旅游等产业发展。通过媒体的报道，也极大地提升了丽水城市的知名度。</w:t>
      </w:r>
    </w:p>
    <w:p>
      <w:pPr>
        <w:spacing w:before="156" w:line="540" w:lineRule="exact"/>
        <w:ind w:left="561"/>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（四）评价发现的问题</w:t>
      </w:r>
    </w:p>
    <w:p>
      <w:pPr>
        <w:spacing w:line="54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1、赛事宣传力度不够</w:t>
      </w:r>
      <w:r>
        <w:rPr>
          <w:rFonts w:hint="eastAsia" w:ascii="仿宋_GB2312" w:hAnsi="仿宋_GB2312" w:eastAsia="仿宋_GB2312" w:cs="仿宋_GB2312"/>
          <w:sz w:val="28"/>
          <w:szCs w:val="28"/>
        </w:rPr>
        <w:t>。根据问卷调查、街头采访、朋友询问等方式获悉，普遍认为在赛事举办前应加大对赛事的宣传力度，即便是丽水市区的大多数民众，如果家人、朋友没有参与本赛事的，都对赛事的举办一无所知。如对社会公众的调查问卷中反映有35%的公众未听说过此类赛事，29%的公众认为本赛事宣传力度不够。</w:t>
      </w:r>
    </w:p>
    <w:p>
      <w:pPr>
        <w:spacing w:line="540" w:lineRule="exact"/>
        <w:ind w:firstLine="56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2、丽水市体育局对政府购买服务项目管理不足。</w:t>
      </w:r>
    </w:p>
    <w:p>
      <w:pPr>
        <w:spacing w:line="54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市体育局作为本赛事的政府服务购买方，制定的制度有《财务管理制度》、《内部控制制度》等。已建立的制度仅简单提及关于费用的预算、审批、支付流程，缺乏针对政府性基金（体彩公益金）等专项资金的管理制度。</w:t>
      </w:r>
    </w:p>
    <w:p>
      <w:pPr>
        <w:spacing w:line="54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（2）未能严格按照《丽水市体育局向社会力量购买体育服务实施管理办法》丽体〔2018〕100号文件第三章第七条之规定及时公布采购项目相关信息。</w:t>
      </w:r>
    </w:p>
    <w:p>
      <w:pPr>
        <w:spacing w:line="54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（3）市体育局与赛事运营方签订的协议中，未约定项目验收的条款，也未制定针对承办赛事运营单位的后续监督措施。</w:t>
      </w:r>
    </w:p>
    <w:p>
      <w:pPr>
        <w:spacing w:line="54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缺乏对项目过程的监管。认为该项目已经实行公开招投标，对承办单位项目资金只要按合同支付即可，至于投标后运营过程中，项目承办单位是否专款专用，使用资金是否与投标约定的内容一致，仅凭承办单位自行出具的仅有金额显示的决算表了事，无法将实际完成与预算目标进行比较。</w:t>
      </w:r>
    </w:p>
    <w:p>
      <w:pPr>
        <w:spacing w:before="156" w:line="540" w:lineRule="exact"/>
        <w:ind w:left="561"/>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（五）意见与建议</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建议后续举办类似赛事，加大赛事宣传力度，增加宣传方式。例如和中小学、幼儿园合作，通过学校公众号推送赛事信息；增加和通信运营商合作，赛前、赛中实时推送短信等方式；通过举办丽水轮滑嘉年华，让更多本地及外地市民积极投入、参与、体验轮滑运动，让更多的人知晓丽水，来到丽水，带动丽水旅游、酒店餐饮等经济收入，创造更可观的赛事经济。</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2、加强财政资金的绩效管理，健全专项资金管理制度，并对运营方专项资金的使用情况进行审计监督，从数量、质量、时效、成本、效益等方面，综合衡量赛事预算资金的使用效果。</w:t>
      </w:r>
    </w:p>
    <w:p>
      <w:pPr>
        <w:spacing w:line="540" w:lineRule="exact"/>
        <w:ind w:firstLine="56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3、进一步规范政府购买服务流程，及时公开公示项目信息，即购买服务预算经市财政局审核批复后，主动在有关网站向社会公开采购项目的预算资金、主要内容、承接标准和目标要求等信息。</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合同条款需要更加细化，增加项目验收的条款，并制定针对运营单位的后续监督措施，并由专人负责跟踪监督。监督内容可涉及运营方投入资金的力度，在食宿、裁判人员、工作人员补贴、服装等方面的经费支出的测算等是否符合预算及实际支出。</w:t>
      </w:r>
    </w:p>
    <w:p>
      <w:pPr>
        <w:spacing w:line="5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增加赛事实时满意度测评，因体育赛事时效性强，参与的运动员，裁判员、社会公众等需要实时测评，调查问卷的结果更能反映实际赛事的情况。从本质上来说,体育赛事的发展与观众数量、满意程度息息相关:观众对体育赛事越感到满意,数量与规模就会不断壮大,赞助商的数量与赞助的力度、门票价格、电视转播与媒体宣传随之才能不断提升,职业体育赛事才能够得以不断的良性发展,因此增加赛事实时满意度测评尤为重要。</w:t>
      </w:r>
    </w:p>
    <w:p>
      <w:pPr>
        <w:spacing w:line="540" w:lineRule="exact"/>
        <w:ind w:firstLine="560"/>
        <w:rPr>
          <w:rFonts w:hint="eastAsia" w:ascii="仿宋_GB2312" w:hAnsi="仿宋_GB2312" w:eastAsia="仿宋_GB2312" w:cs="仿宋_GB2312"/>
          <w:sz w:val="28"/>
          <w:szCs w:val="28"/>
        </w:rPr>
      </w:pPr>
    </w:p>
    <w:p>
      <w:pPr>
        <w:jc w:val="left"/>
        <w:rPr>
          <w:rFonts w:hint="eastAsia" w:ascii="仿宋_GB2312" w:hAnsi="仿宋_GB2312" w:eastAsia="仿宋_GB2312" w:cs="仿宋_GB2312"/>
          <w:b/>
          <w:sz w:val="28"/>
          <w:szCs w:val="28"/>
        </w:rPr>
      </w:pPr>
    </w:p>
    <w:p>
      <w:pPr>
        <w:autoSpaceDE w:val="0"/>
        <w:autoSpaceDN w:val="0"/>
        <w:adjustRightInd w:val="0"/>
        <w:jc w:val="left"/>
        <w:rPr>
          <w:rFonts w:ascii="仿宋_GB2312" w:eastAsia="仿宋_GB2312" w:cs="仿宋_GB2312"/>
          <w:kern w:val="0"/>
          <w:sz w:val="28"/>
          <w:szCs w:val="28"/>
        </w:rPr>
      </w:pPr>
      <w:r>
        <w:rPr>
          <w:rFonts w:hint="eastAsia" w:ascii="仿宋_GB2312" w:eastAsia="仿宋_GB2312" w:cs="仿宋_GB2312"/>
          <w:kern w:val="0"/>
          <w:sz w:val="28"/>
          <w:szCs w:val="28"/>
        </w:rPr>
        <w:t>（第三方评价机构：</w:t>
      </w:r>
      <w:r>
        <w:rPr>
          <w:rFonts w:hint="eastAsia" w:ascii="仿宋_GB2312" w:hAnsi="仿宋" w:eastAsia="仿宋_GB2312" w:cs="宋体"/>
          <w:kern w:val="0"/>
          <w:sz w:val="28"/>
          <w:szCs w:val="28"/>
        </w:rPr>
        <w:t>浙江中企华会计师事务所有限公司</w:t>
      </w:r>
      <w:r>
        <w:rPr>
          <w:rFonts w:hint="eastAsia" w:ascii="仿宋_GB2312" w:eastAsia="仿宋_GB2312" w:cs="仿宋_GB2312"/>
          <w:kern w:val="0"/>
          <w:sz w:val="28"/>
          <w:szCs w:val="28"/>
        </w:rPr>
        <w:t>）</w:t>
      </w:r>
    </w:p>
    <w:p>
      <w:pPr>
        <w:jc w:val="left"/>
        <w:rPr>
          <w:rFonts w:hint="eastAsia" w:ascii="仿宋_GB2312" w:hAnsi="仿宋_GB2312" w:eastAsia="仿宋_GB2312" w:cs="仿宋_GB2312"/>
          <w:b/>
          <w:bCs w:val="0"/>
          <w:sz w:val="28"/>
          <w:szCs w:val="28"/>
        </w:rPr>
      </w:pPr>
    </w:p>
    <w:p>
      <w:pPr>
        <w:jc w:val="left"/>
        <w:rPr>
          <w:rFonts w:hint="eastAsia" w:ascii="仿宋_GB2312" w:hAnsi="仿宋_GB2312" w:eastAsia="仿宋_GB2312" w:cs="仿宋_GB2312"/>
          <w:b/>
          <w:bCs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Batang">
    <w:panose1 w:val="02030600000101010101"/>
    <w:charset w:val="81"/>
    <w:family w:val="roman"/>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3A6D7B"/>
    <w:multiLevelType w:val="multilevel"/>
    <w:tmpl w:val="253A6D7B"/>
    <w:lvl w:ilvl="0" w:tentative="0">
      <w:start w:val="1"/>
      <w:numFmt w:val="decimal"/>
      <w:lvlText w:val="（%1）"/>
      <w:lvlJc w:val="left"/>
      <w:pPr>
        <w:ind w:left="1382" w:hanging="960"/>
      </w:pPr>
      <w:rPr>
        <w:rFonts w:hint="default"/>
        <w:b/>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
    <w:nsid w:val="4C0348A6"/>
    <w:multiLevelType w:val="multilevel"/>
    <w:tmpl w:val="4C0348A6"/>
    <w:lvl w:ilvl="0" w:tentative="0">
      <w:start w:val="4"/>
      <w:numFmt w:val="decimal"/>
      <w:lvlText w:val="（%1）"/>
      <w:lvlJc w:val="left"/>
      <w:pPr>
        <w:ind w:left="3414" w:hanging="720"/>
      </w:pPr>
      <w:rPr>
        <w:rFonts w:hint="default"/>
        <w:lang w:val="en-US"/>
      </w:rPr>
    </w:lvl>
    <w:lvl w:ilvl="1" w:tentative="0">
      <w:start w:val="1"/>
      <w:numFmt w:val="lowerLetter"/>
      <w:lvlText w:val="%2)"/>
      <w:lvlJc w:val="left"/>
      <w:pPr>
        <w:ind w:left="3534" w:hanging="420"/>
      </w:pPr>
    </w:lvl>
    <w:lvl w:ilvl="2" w:tentative="0">
      <w:start w:val="1"/>
      <w:numFmt w:val="lowerRoman"/>
      <w:lvlText w:val="%3."/>
      <w:lvlJc w:val="right"/>
      <w:pPr>
        <w:ind w:left="3954" w:hanging="420"/>
      </w:pPr>
    </w:lvl>
    <w:lvl w:ilvl="3" w:tentative="0">
      <w:start w:val="1"/>
      <w:numFmt w:val="decimal"/>
      <w:lvlText w:val="%4."/>
      <w:lvlJc w:val="left"/>
      <w:pPr>
        <w:ind w:left="4374" w:hanging="420"/>
      </w:pPr>
    </w:lvl>
    <w:lvl w:ilvl="4" w:tentative="0">
      <w:start w:val="1"/>
      <w:numFmt w:val="lowerLetter"/>
      <w:lvlText w:val="%5)"/>
      <w:lvlJc w:val="left"/>
      <w:pPr>
        <w:ind w:left="4794" w:hanging="420"/>
      </w:pPr>
    </w:lvl>
    <w:lvl w:ilvl="5" w:tentative="0">
      <w:start w:val="1"/>
      <w:numFmt w:val="lowerRoman"/>
      <w:lvlText w:val="%6."/>
      <w:lvlJc w:val="right"/>
      <w:pPr>
        <w:ind w:left="5214" w:hanging="420"/>
      </w:pPr>
    </w:lvl>
    <w:lvl w:ilvl="6" w:tentative="0">
      <w:start w:val="1"/>
      <w:numFmt w:val="decimal"/>
      <w:lvlText w:val="%7."/>
      <w:lvlJc w:val="left"/>
      <w:pPr>
        <w:ind w:left="5634" w:hanging="420"/>
      </w:pPr>
    </w:lvl>
    <w:lvl w:ilvl="7" w:tentative="0">
      <w:start w:val="1"/>
      <w:numFmt w:val="lowerLetter"/>
      <w:lvlText w:val="%8)"/>
      <w:lvlJc w:val="left"/>
      <w:pPr>
        <w:ind w:left="6054" w:hanging="420"/>
      </w:pPr>
    </w:lvl>
    <w:lvl w:ilvl="8" w:tentative="0">
      <w:start w:val="1"/>
      <w:numFmt w:val="lowerRoman"/>
      <w:lvlText w:val="%9."/>
      <w:lvlJc w:val="right"/>
      <w:pPr>
        <w:ind w:left="6474" w:hanging="420"/>
      </w:pPr>
    </w:lvl>
  </w:abstractNum>
  <w:abstractNum w:abstractNumId="2">
    <w:nsid w:val="5DECD6BA"/>
    <w:multiLevelType w:val="multilevel"/>
    <w:tmpl w:val="5DECD6BA"/>
    <w:lvl w:ilvl="0" w:tentative="0">
      <w:start w:val="1"/>
      <w:numFmt w:val="japaneseCounting"/>
      <w:lvlText w:val="（%1）"/>
      <w:lvlJc w:val="left"/>
    </w:lvl>
    <w:lvl w:ilvl="1" w:tentative="0">
      <w:start w:val="1"/>
      <w:numFmt w:val="lowerLetter"/>
      <w:lvlText w:val="%2)"/>
      <w:lvlJc w:val="left"/>
    </w:lvl>
    <w:lvl w:ilvl="2" w:tentative="0">
      <w:start w:val="1"/>
      <w:numFmt w:val="lowerRoman"/>
      <w:lvlText w:val="%3."/>
      <w:lvlJc w:val="left"/>
    </w:lvl>
    <w:lvl w:ilvl="3" w:tentative="0">
      <w:start w:val="1"/>
      <w:numFmt w:val="decimal"/>
      <w:lvlText w:val="%4."/>
      <w:lvlJc w:val="left"/>
    </w:lvl>
    <w:lvl w:ilvl="4" w:tentative="0">
      <w:start w:val="1"/>
      <w:numFmt w:val="lowerLetter"/>
      <w:lvlText w:val="%5)"/>
      <w:lvlJc w:val="left"/>
    </w:lvl>
    <w:lvl w:ilvl="5" w:tentative="0">
      <w:start w:val="1"/>
      <w:numFmt w:val="lowerRoman"/>
      <w:lvlText w:val="%6."/>
      <w:lvlJc w:val="left"/>
    </w:lvl>
    <w:lvl w:ilvl="6" w:tentative="0">
      <w:start w:val="1"/>
      <w:numFmt w:val="decimal"/>
      <w:lvlText w:val="%7."/>
      <w:lvlJc w:val="left"/>
    </w:lvl>
    <w:lvl w:ilvl="7" w:tentative="0">
      <w:start w:val="1"/>
      <w:numFmt w:val="lowerLetter"/>
      <w:lvlText w:val="%8)"/>
      <w:lvlJc w:val="left"/>
    </w:lvl>
    <w:lvl w:ilvl="8" w:tentative="0">
      <w:start w:val="1"/>
      <w:numFmt w:val="lowerRoman"/>
      <w:lvlText w:val="%9."/>
      <w:lvlJc w:val="left"/>
    </w:lvl>
  </w:abstractNum>
  <w:abstractNum w:abstractNumId="3">
    <w:nsid w:val="66E53557"/>
    <w:multiLevelType w:val="multilevel"/>
    <w:tmpl w:val="66E53557"/>
    <w:lvl w:ilvl="0" w:tentative="0">
      <w:start w:val="1"/>
      <w:numFmt w:val="upperLetter"/>
      <w:lvlText w:val="%1、"/>
      <w:lvlJc w:val="left"/>
      <w:pPr>
        <w:ind w:left="1283" w:hanging="720"/>
      </w:pPr>
      <w:rPr>
        <w:rFonts w:hint="default"/>
      </w:rPr>
    </w:lvl>
    <w:lvl w:ilvl="1" w:tentative="0">
      <w:start w:val="1"/>
      <w:numFmt w:val="lowerLetter"/>
      <w:lvlText w:val="%2)"/>
      <w:lvlJc w:val="left"/>
      <w:pPr>
        <w:ind w:left="1403" w:hanging="420"/>
      </w:pPr>
    </w:lvl>
    <w:lvl w:ilvl="2" w:tentative="0">
      <w:start w:val="1"/>
      <w:numFmt w:val="lowerRoman"/>
      <w:lvlText w:val="%3."/>
      <w:lvlJc w:val="right"/>
      <w:pPr>
        <w:ind w:left="1823" w:hanging="420"/>
      </w:pPr>
    </w:lvl>
    <w:lvl w:ilvl="3" w:tentative="0">
      <w:start w:val="1"/>
      <w:numFmt w:val="decimal"/>
      <w:lvlText w:val="%4."/>
      <w:lvlJc w:val="left"/>
      <w:pPr>
        <w:ind w:left="2243" w:hanging="420"/>
      </w:pPr>
    </w:lvl>
    <w:lvl w:ilvl="4" w:tentative="0">
      <w:start w:val="1"/>
      <w:numFmt w:val="lowerLetter"/>
      <w:lvlText w:val="%5)"/>
      <w:lvlJc w:val="left"/>
      <w:pPr>
        <w:ind w:left="2663" w:hanging="420"/>
      </w:pPr>
    </w:lvl>
    <w:lvl w:ilvl="5" w:tentative="0">
      <w:start w:val="1"/>
      <w:numFmt w:val="lowerRoman"/>
      <w:lvlText w:val="%6."/>
      <w:lvlJc w:val="right"/>
      <w:pPr>
        <w:ind w:left="3083" w:hanging="420"/>
      </w:pPr>
    </w:lvl>
    <w:lvl w:ilvl="6" w:tentative="0">
      <w:start w:val="1"/>
      <w:numFmt w:val="decimal"/>
      <w:lvlText w:val="%7."/>
      <w:lvlJc w:val="left"/>
      <w:pPr>
        <w:ind w:left="3503" w:hanging="420"/>
      </w:pPr>
    </w:lvl>
    <w:lvl w:ilvl="7" w:tentative="0">
      <w:start w:val="1"/>
      <w:numFmt w:val="lowerLetter"/>
      <w:lvlText w:val="%8)"/>
      <w:lvlJc w:val="left"/>
      <w:pPr>
        <w:ind w:left="3923" w:hanging="420"/>
      </w:pPr>
    </w:lvl>
    <w:lvl w:ilvl="8" w:tentative="0">
      <w:start w:val="1"/>
      <w:numFmt w:val="lowerRoman"/>
      <w:lvlText w:val="%9."/>
      <w:lvlJc w:val="right"/>
      <w:pPr>
        <w:ind w:left="4343" w:hanging="420"/>
      </w:pPr>
    </w:lvl>
  </w:abstractNum>
  <w:abstractNum w:abstractNumId="4">
    <w:nsid w:val="7EBD6ED3"/>
    <w:multiLevelType w:val="multilevel"/>
    <w:tmpl w:val="7EBD6ED3"/>
    <w:lvl w:ilvl="0" w:tentative="0">
      <w:start w:val="1"/>
      <w:numFmt w:val="japaneseCounting"/>
      <w:lvlText w:val="（%1）"/>
      <w:lvlJc w:val="left"/>
      <w:pPr>
        <w:ind w:left="1447" w:hanging="88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1333C4"/>
    <w:rsid w:val="001333C4"/>
    <w:rsid w:val="00A441A6"/>
    <w:rsid w:val="00CF7BD1"/>
    <w:rsid w:val="00D5175F"/>
    <w:rsid w:val="00D75589"/>
    <w:rsid w:val="00E812A5"/>
    <w:rsid w:val="3D4D2321"/>
    <w:rsid w:val="3F3772A9"/>
    <w:rsid w:val="737F4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0"/>
    <w:pPr>
      <w:keepNext/>
      <w:keepLines/>
      <w:widowControl/>
      <w:spacing w:before="260" w:after="260" w:line="416" w:lineRule="auto"/>
      <w:jc w:val="left"/>
      <w:outlineLvl w:val="1"/>
    </w:pPr>
    <w:rPr>
      <w:rFonts w:ascii="Arial" w:hAnsi="Arial" w:eastAsia="黑体"/>
      <w:b/>
      <w:bCs/>
      <w:kern w:val="0"/>
      <w:sz w:val="32"/>
      <w:szCs w:val="32"/>
    </w:rPr>
  </w:style>
  <w:style w:type="character" w:default="1" w:styleId="7">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qFormat/>
    <w:uiPriority w:val="0"/>
    <w:pPr>
      <w:widowControl/>
      <w:jc w:val="left"/>
    </w:pPr>
    <w:rPr>
      <w:rFonts w:ascii="Calibri" w:hAnsi="Calibri" w:eastAsia="宋体"/>
      <w:kern w:val="0"/>
      <w:sz w:val="18"/>
      <w:szCs w:val="18"/>
    </w:rPr>
  </w:style>
  <w:style w:type="paragraph" w:styleId="4">
    <w:name w:val="footer"/>
    <w:basedOn w:val="1"/>
    <w:link w:val="9"/>
    <w:unhideWhenUsed/>
    <w:qFormat/>
    <w:uiPriority w:val="0"/>
    <w:pPr>
      <w:tabs>
        <w:tab w:val="center" w:pos="4153"/>
        <w:tab w:val="right" w:pos="8306"/>
      </w:tabs>
      <w:snapToGrid w:val="0"/>
      <w:jc w:val="left"/>
    </w:pPr>
    <w:rPr>
      <w:sz w:val="18"/>
      <w:szCs w:val="18"/>
    </w:rPr>
  </w:style>
  <w:style w:type="paragraph" w:styleId="5">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sz w:val="18"/>
      <w:szCs w:val="18"/>
    </w:rPr>
  </w:style>
  <w:style w:type="character" w:customStyle="1" w:styleId="9">
    <w:name w:val="页脚 Char"/>
    <w:basedOn w:val="7"/>
    <w:link w:val="4"/>
    <w:qFormat/>
    <w:uiPriority w:val="0"/>
    <w:rPr>
      <w:sz w:val="18"/>
      <w:szCs w:val="18"/>
    </w:rPr>
  </w:style>
  <w:style w:type="character" w:customStyle="1" w:styleId="10">
    <w:name w:val="标题 2 Char"/>
    <w:basedOn w:val="7"/>
    <w:link w:val="2"/>
    <w:qFormat/>
    <w:uiPriority w:val="0"/>
    <w:rPr>
      <w:rFonts w:ascii="Arial" w:hAnsi="Arial" w:eastAsia="黑体"/>
      <w:b/>
      <w:bCs/>
      <w:kern w:val="0"/>
      <w:sz w:val="32"/>
      <w:szCs w:val="32"/>
    </w:rPr>
  </w:style>
  <w:style w:type="character" w:customStyle="1" w:styleId="11">
    <w:name w:val="批注框文本 Char"/>
    <w:basedOn w:val="7"/>
    <w:link w:val="3"/>
    <w:qFormat/>
    <w:uiPriority w:val="0"/>
    <w:rPr>
      <w:rFonts w:ascii="Calibri" w:hAnsi="Calibri" w:eastAsia="宋体"/>
      <w:kern w:val="0"/>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86</Pages>
  <Words>44784</Words>
  <Characters>49215</Characters>
  <Lines>140</Lines>
  <Paragraphs>39</Paragraphs>
  <TotalTime>1</TotalTime>
  <ScaleCrop>false</ScaleCrop>
  <LinksUpToDate>false</LinksUpToDate>
  <CharactersWithSpaces>49549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2020-06-01T02:23:00Z</dcterms:created>
  <dc:creator>何丽华</dc:creator>
  <cp:lastModifiedBy>Icarus</cp:lastModifiedBy>
  <dcterms:modified xsi:type="dcterms:W3CDTF">2022-09-08T08:29:37Z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DE8E645F9A4F430E9D38C35E20DCCD2E</vt:lpwstr>
  </property>
</Properties>
</file>