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bookmarkStart w:id="0" w:name="_GoBack"/>
      <w:bookmarkEnd w:id="0"/>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r>
        <w:rPr>
          <w:rFonts w:ascii="方正小标宋简体" w:hAnsi="方正小标宋简体" w:eastAsia="方正小标宋简体" w:cs="方正小标宋简体"/>
          <w:bCs/>
          <w:spacing w:val="15"/>
          <w:sz w:val="44"/>
          <w:szCs w:val="44"/>
          <w:lang w:val="en"/>
        </w:rPr>
        <w:t>丽水市</w:t>
      </w:r>
      <w:r>
        <w:rPr>
          <w:rFonts w:hint="eastAsia" w:ascii="方正小标宋简体" w:hAnsi="方正小标宋简体" w:eastAsia="方正小标宋简体" w:cs="方正小标宋简体"/>
          <w:bCs/>
          <w:spacing w:val="15"/>
          <w:sz w:val="44"/>
          <w:szCs w:val="44"/>
        </w:rPr>
        <w:t>教育局2023年单位预算</w:t>
      </w:r>
    </w:p>
    <w:p>
      <w:pPr>
        <w:spacing w:line="560" w:lineRule="exact"/>
        <w:ind w:firstLine="590" w:firstLineChars="196"/>
        <w:rPr>
          <w:rStyle w:val="8"/>
          <w:color w:val="000000"/>
          <w:sz w:val="30"/>
          <w:szCs w:val="30"/>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pStyle w:val="2"/>
        <w:rPr>
          <w:rStyle w:val="8"/>
          <w:rFonts w:hint="default" w:ascii="黑体" w:eastAsia="黑体"/>
          <w:b w:val="0"/>
          <w:sz w:val="32"/>
          <w:szCs w:val="32"/>
          <w:highlight w:val="yellow"/>
        </w:rPr>
      </w:pPr>
    </w:p>
    <w:p>
      <w:pPr>
        <w:pStyle w:val="2"/>
        <w:rPr>
          <w:rStyle w:val="8"/>
          <w:rFonts w:hint="default" w:ascii="黑体" w:eastAsia="黑体"/>
          <w:b w:val="0"/>
          <w:sz w:val="32"/>
          <w:szCs w:val="32"/>
          <w:highlight w:val="yellow"/>
        </w:rPr>
      </w:pPr>
    </w:p>
    <w:p>
      <w:pPr>
        <w:spacing w:line="520" w:lineRule="exact"/>
        <w:ind w:firstLine="627" w:firstLineChars="196"/>
        <w:jc w:val="center"/>
        <w:rPr>
          <w:rStyle w:val="8"/>
          <w:rFonts w:ascii="黑体" w:eastAsia="黑体"/>
          <w:b w:val="0"/>
          <w:color w:val="000000"/>
          <w:sz w:val="32"/>
          <w:szCs w:val="32"/>
          <w:highlight w:val="yellow"/>
        </w:rPr>
      </w:pPr>
    </w:p>
    <w:p>
      <w:pPr>
        <w:pStyle w:val="2"/>
        <w:rPr>
          <w:rFonts w:hint="default"/>
        </w:rPr>
      </w:pPr>
    </w:p>
    <w:p>
      <w:pPr>
        <w:spacing w:line="520" w:lineRule="exact"/>
        <w:ind w:firstLine="627" w:firstLineChars="196"/>
        <w:jc w:val="center"/>
        <w:rPr>
          <w:rStyle w:val="8"/>
          <w:rFonts w:ascii="黑体" w:eastAsia="黑体"/>
          <w:b w:val="0"/>
          <w:color w:val="000000"/>
          <w:sz w:val="32"/>
          <w:szCs w:val="32"/>
        </w:rPr>
      </w:pPr>
      <w:r>
        <w:rPr>
          <w:rStyle w:val="8"/>
          <w:rFonts w:hint="eastAsia" w:ascii="黑体" w:eastAsia="黑体"/>
          <w:b w:val="0"/>
          <w:color w:val="000000"/>
          <w:sz w:val="32"/>
          <w:szCs w:val="32"/>
        </w:rPr>
        <w:t>目录</w:t>
      </w:r>
    </w:p>
    <w:p>
      <w:pPr>
        <w:spacing w:line="520" w:lineRule="exact"/>
        <w:rPr>
          <w:rFonts w:eastAsia="黑体"/>
          <w:sz w:val="32"/>
        </w:rPr>
      </w:pPr>
      <w:r>
        <w:rPr>
          <w:rFonts w:hint="eastAsia" w:ascii="黑体" w:eastAsia="黑体"/>
          <w:color w:val="000000"/>
          <w:sz w:val="32"/>
        </w:rPr>
        <w:t>一、单位</w:t>
      </w:r>
      <w:r>
        <w:rPr>
          <w:rStyle w:val="8"/>
          <w:rFonts w:hint="eastAsia" w:ascii="黑体" w:eastAsia="黑体"/>
          <w:b w:val="0"/>
          <w:color w:val="000000"/>
          <w:sz w:val="32"/>
          <w:szCs w:val="32"/>
        </w:rPr>
        <w:t>概况</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spacing w:line="520" w:lineRule="exact"/>
        <w:rPr>
          <w:rStyle w:val="8"/>
          <w:rFonts w:ascii="黑体" w:eastAsia="黑体"/>
          <w:b w:val="0"/>
          <w:color w:val="000000"/>
          <w:sz w:val="32"/>
          <w:szCs w:val="32"/>
        </w:rPr>
      </w:pPr>
      <w:r>
        <w:rPr>
          <w:rStyle w:val="8"/>
          <w:rFonts w:hint="eastAsia" w:ascii="黑体" w:eastAsia="黑体"/>
          <w:b w:val="0"/>
          <w:color w:val="000000"/>
          <w:sz w:val="32"/>
          <w:szCs w:val="32"/>
        </w:rPr>
        <w:t>二、2023年丽水市教育局单位预算安排情况说明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（一）关于丽水市教育局2023年收支预算情况的总体说明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（二）关于丽水市教育局2023年收入预算情况说明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（三）关于丽水市教育局2023年支出预算情况说明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（四）关于丽水市教育局2023年财政拨款收支预算情况的总体说明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（五）关于丽水市教育2023年一般公共预算当年拨款情况说明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（六）关于丽水市教育局2023年一般公共预算基本支出情况说明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（七）关于丽水市教育局2023年政府性基金预算支出情况说明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（八）关于丽水市教育局2023年国有资本经营预算支出情况说明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（九）关于丽水市教育局2023年一般公共预算“三公”经费预算情况说明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21"/>
        <w:spacing w:line="520" w:lineRule="exact"/>
        <w:rPr>
          <w:rStyle w:val="8"/>
          <w:rFonts w:ascii="黑体" w:hAnsi="Calibri" w:eastAsia="黑体"/>
          <w:b w:val="0"/>
          <w:color w:val="000000"/>
          <w:kern w:val="2"/>
          <w:sz w:val="32"/>
          <w:szCs w:val="32"/>
        </w:rPr>
      </w:pPr>
      <w:r>
        <w:rPr>
          <w:rStyle w:val="8"/>
          <w:rFonts w:hint="eastAsia" w:ascii="黑体" w:hAnsi="Calibri" w:eastAsia="黑体"/>
          <w:b w:val="0"/>
          <w:color w:val="000000"/>
          <w:kern w:val="2"/>
          <w:sz w:val="32"/>
          <w:szCs w:val="32"/>
        </w:rPr>
        <w:t>三、名词解释</w:t>
      </w:r>
    </w:p>
    <w:p>
      <w:pPr>
        <w:spacing w:line="520" w:lineRule="exact"/>
        <w:rPr>
          <w:rStyle w:val="8"/>
          <w:rFonts w:ascii="黑体" w:eastAsia="黑体"/>
          <w:b w:val="0"/>
          <w:color w:val="000000"/>
          <w:sz w:val="32"/>
          <w:szCs w:val="32"/>
        </w:rPr>
      </w:pPr>
      <w:r>
        <w:rPr>
          <w:rStyle w:val="8"/>
          <w:rFonts w:hint="eastAsia" w:ascii="黑体" w:eastAsia="黑体"/>
          <w:b w:val="0"/>
          <w:color w:val="000000"/>
          <w:sz w:val="32"/>
          <w:szCs w:val="32"/>
        </w:rPr>
        <w:t>四、2023年丽水市教育局单位预算表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收入预算总表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支出预算总表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财政拨款收支预算总表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一般公共预算支出表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一般公共预算基本支出表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一般公共预算“三公”经费支出表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政府性基金预算支出表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国有资本经营预算支出表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项目支出预算表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（十一）2023年</w:t>
      </w:r>
      <w:r>
        <w:rPr>
          <w:rFonts w:ascii="楷体_GB2312" w:hAnsi="楷体_GB2312" w:eastAsia="楷体_GB2312" w:cs="楷体_GB2312"/>
          <w:bCs/>
          <w:sz w:val="32"/>
          <w:szCs w:val="32"/>
          <w:lang w:val="en"/>
        </w:rPr>
        <w:t>市级</w:t>
      </w:r>
      <w:r>
        <w:rPr>
          <w:rFonts w:hint="eastAsia" w:ascii="楷体_GB2312" w:hAnsi="楷体_GB2312" w:eastAsia="楷体_GB2312" w:cs="楷体_GB2312"/>
          <w:bCs/>
          <w:sz w:val="32"/>
          <w:szCs w:val="32"/>
          <w:lang w:val="en"/>
        </w:rPr>
        <w:t>单位</w:t>
      </w:r>
      <w:r>
        <w:rPr>
          <w:rFonts w:hint="eastAsia" w:ascii="楷体_GB2312" w:hAnsi="楷体_GB2312" w:eastAsia="楷体_GB2312" w:cs="楷体_GB2312"/>
          <w:bCs/>
          <w:sz w:val="32"/>
          <w:szCs w:val="32"/>
        </w:rPr>
        <w:t>预算财政拨款重点项目支出预算表</w:t>
      </w:r>
    </w:p>
    <w:p>
      <w:pPr>
        <w:spacing w:line="520" w:lineRule="exact"/>
        <w:ind w:firstLine="627" w:firstLineChars="196"/>
        <w:rPr>
          <w:rStyle w:val="8"/>
          <w:rFonts w:ascii="黑体" w:eastAsia="黑体"/>
          <w:b w:val="0"/>
          <w:color w:val="00000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pStyle w:val="2"/>
        <w:rPr>
          <w:rStyle w:val="8"/>
          <w:rFonts w:hint="default" w:ascii="黑体" w:eastAsia="黑体"/>
          <w:b w:val="0"/>
          <w:sz w:val="32"/>
          <w:szCs w:val="32"/>
        </w:rPr>
      </w:pPr>
    </w:p>
    <w:p>
      <w:pPr>
        <w:spacing w:line="520" w:lineRule="exact"/>
        <w:ind w:firstLine="627" w:firstLineChars="196"/>
        <w:rPr>
          <w:rStyle w:val="8"/>
          <w:rFonts w:ascii="黑体" w:eastAsia="黑体"/>
          <w:b w:val="0"/>
          <w:color w:val="000000"/>
          <w:sz w:val="32"/>
          <w:szCs w:val="32"/>
        </w:rPr>
      </w:pPr>
      <w:r>
        <w:rPr>
          <w:rStyle w:val="8"/>
          <w:rFonts w:hint="eastAsia" w:ascii="黑体" w:eastAsia="黑体"/>
          <w:b w:val="0"/>
          <w:color w:val="000000"/>
          <w:sz w:val="32"/>
          <w:szCs w:val="32"/>
        </w:rPr>
        <w:t>一、单位概况</w:t>
      </w:r>
    </w:p>
    <w:p>
      <w:pPr>
        <w:spacing w:line="520" w:lineRule="exact"/>
        <w:ind w:firstLine="627" w:firstLineChars="196"/>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spacing w:line="580" w:lineRule="exact"/>
        <w:ind w:firstLine="640" w:firstLineChars="200"/>
        <w:rPr>
          <w:rFonts w:ascii="仿宋" w:hAnsi="仿宋" w:eastAsia="仿宋"/>
          <w:sz w:val="32"/>
        </w:rPr>
      </w:pPr>
      <w:r>
        <w:rPr>
          <w:rFonts w:hint="eastAsia" w:ascii="仿宋" w:hAnsi="仿宋" w:eastAsia="仿宋"/>
          <w:sz w:val="32"/>
        </w:rPr>
        <w:t>根据《中共丽水市委办公室 丽水市人民政府办公室关于印发丽水市教育局职能配置、内设机构和人员编制规定的通知》（室字〔2019〕25号），市教育局贯彻落实党中央、省委和市委关于教育工作的方针政策和决策部署，在履行职责过程中坚持和加强党对教育工作的集中统一领导。其主要职责是：</w:t>
      </w:r>
    </w:p>
    <w:p>
      <w:pPr>
        <w:spacing w:line="324" w:lineRule="auto"/>
        <w:ind w:firstLine="640" w:firstLineChars="200"/>
        <w:rPr>
          <w:rFonts w:ascii="仿宋" w:hAnsi="仿宋" w:eastAsia="仿宋"/>
          <w:sz w:val="32"/>
        </w:rPr>
      </w:pPr>
      <w:r>
        <w:rPr>
          <w:rFonts w:hint="eastAsia" w:ascii="仿宋" w:hAnsi="仿宋" w:eastAsia="仿宋"/>
          <w:sz w:val="32"/>
        </w:rPr>
        <w:t xml:space="preserve">1.贯彻执行党和国家的教育方针、政策和有关教育的法律、法规，促进教育系统法制建设；研究制定并组织实施全市教育事业发展规划和年度教育工作计划；研究全市教育改革与发展的重大问题，指导、协调各县（市、区）、市直有关部门的教育工作；配合市委统战部做好高校统战工作，负责、指导教育系统稳定工作。 </w:t>
      </w:r>
    </w:p>
    <w:p>
      <w:pPr>
        <w:spacing w:line="324" w:lineRule="auto"/>
        <w:ind w:firstLine="640" w:firstLineChars="200"/>
        <w:rPr>
          <w:rFonts w:ascii="仿宋" w:hAnsi="仿宋" w:eastAsia="仿宋"/>
          <w:sz w:val="32"/>
        </w:rPr>
      </w:pPr>
      <w:r>
        <w:rPr>
          <w:rFonts w:hint="eastAsia" w:ascii="仿宋" w:hAnsi="仿宋" w:eastAsia="仿宋"/>
          <w:sz w:val="32"/>
        </w:rPr>
        <w:t xml:space="preserve">2.负责推进基础教育均衡发展和促进教育公平，组织实施中等及以下教育发展水平、质量和结构的督导检查和评估验收；制定基础教育教学基本要求和教学基本文件，全面实施素质教育。 </w:t>
      </w:r>
    </w:p>
    <w:p>
      <w:pPr>
        <w:spacing w:line="324" w:lineRule="auto"/>
        <w:ind w:firstLine="640" w:firstLineChars="200"/>
        <w:rPr>
          <w:rFonts w:ascii="仿宋" w:hAnsi="仿宋" w:eastAsia="仿宋"/>
          <w:sz w:val="32"/>
        </w:rPr>
      </w:pPr>
      <w:r>
        <w:rPr>
          <w:rFonts w:hint="eastAsia" w:ascii="仿宋" w:hAnsi="仿宋" w:eastAsia="仿宋"/>
          <w:sz w:val="32"/>
        </w:rPr>
        <w:t>3.统筹管理全市基础教育（含特殊教育、幼儿教育）、</w:t>
      </w:r>
    </w:p>
    <w:p>
      <w:pPr>
        <w:spacing w:line="324" w:lineRule="auto"/>
        <w:rPr>
          <w:rFonts w:ascii="仿宋" w:hAnsi="仿宋" w:eastAsia="仿宋"/>
          <w:sz w:val="32"/>
        </w:rPr>
      </w:pPr>
      <w:r>
        <w:rPr>
          <w:rFonts w:hint="eastAsia" w:ascii="仿宋" w:hAnsi="仿宋" w:eastAsia="仿宋"/>
          <w:sz w:val="32"/>
        </w:rPr>
        <w:t xml:space="preserve">职业技术教育、成人教育、城乡社区教育、社会力量举办的高中段及其以下教育、成人高等教育自学考试和继续教育等工作；统筹管理全市中小学布局调整工作；按管理限权审核学校和其他教育机构的设置和调整，报相关部门审批；按规定审批民办学校和其他民办教育机构的设置和调整；指导高等、中等专业学校教育教学改革和专业设置。 </w:t>
      </w:r>
    </w:p>
    <w:p>
      <w:pPr>
        <w:spacing w:line="324" w:lineRule="auto"/>
        <w:ind w:firstLine="640" w:firstLineChars="200"/>
        <w:rPr>
          <w:rFonts w:ascii="仿宋" w:hAnsi="仿宋" w:eastAsia="仿宋"/>
          <w:sz w:val="32"/>
        </w:rPr>
      </w:pPr>
      <w:r>
        <w:rPr>
          <w:rFonts w:hint="eastAsia" w:ascii="仿宋" w:hAnsi="仿宋" w:eastAsia="仿宋"/>
          <w:sz w:val="32"/>
        </w:rPr>
        <w:t xml:space="preserve">4.会同有关部门制定高中段学历教育的招生计划并组织实施；指导高中段教育及其以下各类教育的教育教学改革；组织教育科学研究和教学研究，编写必要的补充教材；组织指导所属学校对外交流与合作。 </w:t>
      </w:r>
    </w:p>
    <w:p>
      <w:pPr>
        <w:spacing w:line="324" w:lineRule="auto"/>
        <w:ind w:firstLine="640" w:firstLineChars="200"/>
        <w:rPr>
          <w:rFonts w:ascii="仿宋" w:hAnsi="仿宋" w:eastAsia="仿宋"/>
          <w:sz w:val="32"/>
        </w:rPr>
      </w:pPr>
      <w:r>
        <w:rPr>
          <w:rFonts w:hint="eastAsia" w:ascii="仿宋" w:hAnsi="仿宋" w:eastAsia="仿宋"/>
          <w:sz w:val="32"/>
        </w:rPr>
        <w:t xml:space="preserve">5.负责全市教师的管理和指导工作；组织实施教师资格制度；会同有关部门做好中小学教师专业技术职务的评聘工作；统筹规划并指导师资队伍建设；负责直属学校（单位）教职工跨系统跨地区调动的审核；指导教育系统社团工作；组织、指导全市教师培训工作；负责直属单位及学校的机构编制、人事管理工作；会同有关部门开展中职毕业生就业指导工作。 </w:t>
      </w:r>
    </w:p>
    <w:p>
      <w:pPr>
        <w:spacing w:line="324" w:lineRule="auto"/>
        <w:ind w:firstLine="640" w:firstLineChars="200"/>
        <w:rPr>
          <w:rFonts w:ascii="仿宋" w:hAnsi="仿宋" w:eastAsia="仿宋"/>
          <w:sz w:val="32"/>
        </w:rPr>
      </w:pPr>
      <w:r>
        <w:rPr>
          <w:rFonts w:hint="eastAsia" w:ascii="仿宋" w:hAnsi="仿宋" w:eastAsia="仿宋"/>
          <w:sz w:val="32"/>
        </w:rPr>
        <w:t>6.统筹管理市本级教育经费；参与拟订教育经费筹措、</w:t>
      </w:r>
    </w:p>
    <w:p>
      <w:pPr>
        <w:spacing w:line="324" w:lineRule="auto"/>
        <w:rPr>
          <w:rFonts w:ascii="仿宋" w:hAnsi="仿宋" w:eastAsia="仿宋"/>
          <w:sz w:val="32"/>
        </w:rPr>
      </w:pPr>
      <w:r>
        <w:rPr>
          <w:rFonts w:hint="eastAsia" w:ascii="仿宋" w:hAnsi="仿宋" w:eastAsia="仿宋"/>
          <w:sz w:val="32"/>
        </w:rPr>
        <w:t xml:space="preserve">教育拨款、教育基建投资的方针、政策；监测全市教育经费的筹措和使用情况；会同有关部门制定普通高中和职业高中的收费标准；负责教育系统内部审计工作；负责全市教育基本信息的统计、分析和发布；指导直属学校（单位）的基建、财务、固定资产管理；按照有关规定管理国内外对全市的教育援助、教育贷款。 </w:t>
      </w:r>
    </w:p>
    <w:p>
      <w:pPr>
        <w:spacing w:line="324" w:lineRule="auto"/>
        <w:ind w:firstLine="640" w:firstLineChars="200"/>
        <w:rPr>
          <w:rFonts w:ascii="仿宋" w:hAnsi="仿宋" w:eastAsia="仿宋"/>
          <w:sz w:val="32"/>
        </w:rPr>
      </w:pPr>
      <w:r>
        <w:rPr>
          <w:rFonts w:hint="eastAsia" w:ascii="仿宋" w:hAnsi="仿宋" w:eastAsia="仿宋"/>
          <w:sz w:val="32"/>
        </w:rPr>
        <w:t xml:space="preserve">7.负责协调指导全市教育督导工作；牵头教育方针政策、法律法规执行情况的监督检查评估指导工作；承担市政府教育督导室的日常工作。 </w:t>
      </w:r>
    </w:p>
    <w:p>
      <w:pPr>
        <w:spacing w:line="324" w:lineRule="auto"/>
        <w:ind w:firstLine="640" w:firstLineChars="200"/>
        <w:rPr>
          <w:rFonts w:ascii="仿宋" w:hAnsi="仿宋" w:eastAsia="仿宋"/>
          <w:sz w:val="32"/>
        </w:rPr>
      </w:pPr>
      <w:r>
        <w:rPr>
          <w:rFonts w:hint="eastAsia" w:ascii="仿宋" w:hAnsi="仿宋" w:eastAsia="仿宋"/>
          <w:sz w:val="32"/>
        </w:rPr>
        <w:t xml:space="preserve">8.规划并指导全市中小学、幼儿园的思想政治、品德教育工作，体育、卫生、艺术教育和国防教育和安全稳定工作；指导全市中小学校少先队、共青团工作；指导全市勤工俭学和学校后勤社会化工作；指导实施全市教育信息化建设和中小学图书、教学仪器和实验设备配备工作。 </w:t>
      </w:r>
    </w:p>
    <w:p>
      <w:pPr>
        <w:spacing w:line="324" w:lineRule="auto"/>
        <w:ind w:firstLine="640" w:firstLineChars="200"/>
        <w:rPr>
          <w:rFonts w:ascii="仿宋" w:hAnsi="仿宋" w:eastAsia="仿宋"/>
          <w:sz w:val="32"/>
        </w:rPr>
      </w:pPr>
      <w:r>
        <w:rPr>
          <w:rFonts w:hint="eastAsia" w:ascii="仿宋" w:hAnsi="仿宋" w:eastAsia="仿宋"/>
          <w:sz w:val="32"/>
        </w:rPr>
        <w:t xml:space="preserve">9.负责全市教育系统的学籍管理和考试管理工作；负责指导大中专学校的招生工作；会同有关部门组织教育考试管理工作。 </w:t>
      </w:r>
    </w:p>
    <w:p>
      <w:pPr>
        <w:spacing w:line="324" w:lineRule="auto"/>
        <w:ind w:firstLine="640" w:firstLineChars="200"/>
        <w:rPr>
          <w:rFonts w:ascii="仿宋" w:hAnsi="仿宋" w:eastAsia="仿宋"/>
          <w:sz w:val="32"/>
        </w:rPr>
      </w:pPr>
      <w:r>
        <w:rPr>
          <w:rFonts w:hint="eastAsia" w:ascii="仿宋" w:hAnsi="仿宋" w:eastAsia="仿宋"/>
          <w:sz w:val="32"/>
        </w:rPr>
        <w:t xml:space="preserve">10.贯彻国家语言文字工作的方针、政策，编制语言文字工作中长期规划，协助协调、监督和检查全市的语言文字工作；指导推广普通话和普通话水平测试工作。 </w:t>
      </w:r>
    </w:p>
    <w:p>
      <w:pPr>
        <w:spacing w:line="324" w:lineRule="auto"/>
        <w:ind w:firstLine="640" w:firstLineChars="200"/>
        <w:rPr>
          <w:rFonts w:ascii="仿宋" w:hAnsi="仿宋" w:eastAsia="仿宋"/>
          <w:sz w:val="32"/>
        </w:rPr>
      </w:pPr>
      <w:r>
        <w:rPr>
          <w:rFonts w:hint="eastAsia" w:ascii="仿宋" w:hAnsi="仿宋" w:eastAsia="仿宋"/>
          <w:sz w:val="32"/>
        </w:rPr>
        <w:t xml:space="preserve">11.负责全市教育系统（含民办学校）的安全监管职责；组织或配合查处学校安全管理方面的失职或违法行为。 </w:t>
      </w:r>
    </w:p>
    <w:p>
      <w:pPr>
        <w:spacing w:line="324" w:lineRule="auto"/>
        <w:ind w:firstLine="640" w:firstLineChars="200"/>
        <w:rPr>
          <w:rFonts w:ascii="仿宋" w:hAnsi="仿宋" w:eastAsia="仿宋"/>
          <w:sz w:val="32"/>
        </w:rPr>
      </w:pPr>
      <w:r>
        <w:rPr>
          <w:rFonts w:hint="eastAsia" w:ascii="仿宋" w:hAnsi="仿宋" w:eastAsia="仿宋"/>
          <w:sz w:val="32"/>
        </w:rPr>
        <w:t xml:space="preserve">12.负责法律规定的有关教育行政处分、处罚和行政诉讼、行政复议等工作。 </w:t>
      </w:r>
    </w:p>
    <w:p>
      <w:pPr>
        <w:spacing w:line="324" w:lineRule="auto"/>
        <w:ind w:firstLine="640" w:firstLineChars="200"/>
        <w:rPr>
          <w:rFonts w:ascii="仿宋" w:hAnsi="仿宋" w:eastAsia="仿宋"/>
          <w:sz w:val="32"/>
        </w:rPr>
      </w:pPr>
      <w:r>
        <w:rPr>
          <w:rFonts w:hint="eastAsia" w:ascii="仿宋" w:hAnsi="仿宋" w:eastAsia="仿宋"/>
          <w:sz w:val="32"/>
        </w:rPr>
        <w:t>13.承办市政府交办的其他事项。</w:t>
      </w:r>
    </w:p>
    <w:p>
      <w:pPr>
        <w:spacing w:line="520" w:lineRule="exact"/>
        <w:ind w:firstLine="627" w:firstLineChars="196"/>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widowControl/>
        <w:ind w:firstLine="482"/>
        <w:jc w:val="left"/>
        <w:rPr>
          <w:rFonts w:ascii="仿宋_GB2312" w:eastAsia="仿宋_GB2312"/>
          <w:bCs/>
          <w:sz w:val="32"/>
          <w:szCs w:val="32"/>
        </w:rPr>
      </w:pPr>
      <w:r>
        <w:rPr>
          <w:rFonts w:hint="eastAsia" w:ascii="仿宋_GB2312" w:eastAsia="仿宋_GB2312"/>
          <w:bCs/>
          <w:sz w:val="32"/>
          <w:szCs w:val="32"/>
        </w:rPr>
        <w:t>丽水市教育局内设办公室、人事处、计划财务处、基础教育处、职成高教处、安全处、直属机关党委。</w:t>
      </w:r>
    </w:p>
    <w:p>
      <w:pPr>
        <w:pStyle w:val="2"/>
        <w:rPr>
          <w:rFonts w:hint="default"/>
          <w:bCs/>
          <w:sz w:val="32"/>
          <w:szCs w:val="32"/>
        </w:rPr>
      </w:pPr>
    </w:p>
    <w:p>
      <w:pPr>
        <w:pStyle w:val="2"/>
        <w:rPr>
          <w:rFonts w:hint="default"/>
          <w:bCs/>
          <w:sz w:val="32"/>
          <w:szCs w:val="32"/>
        </w:rPr>
      </w:pPr>
    </w:p>
    <w:p>
      <w:pPr>
        <w:numPr>
          <w:ilvl w:val="255"/>
          <w:numId w:val="0"/>
        </w:numPr>
        <w:spacing w:line="520" w:lineRule="exact"/>
        <w:rPr>
          <w:rFonts w:ascii="楷体_GB2312" w:hAnsi="楷体_GB2312" w:eastAsia="楷体_GB2312" w:cs="楷体_GB2312"/>
          <w:color w:val="000000"/>
          <w:sz w:val="32"/>
          <w:szCs w:val="32"/>
        </w:rPr>
      </w:pPr>
      <w:r>
        <w:rPr>
          <w:rStyle w:val="8"/>
          <w:rFonts w:hint="eastAsia" w:ascii="黑体" w:eastAsia="黑体"/>
          <w:b w:val="0"/>
          <w:color w:val="000000"/>
          <w:sz w:val="32"/>
          <w:szCs w:val="32"/>
        </w:rPr>
        <w:t xml:space="preserve">  二、2023年丽水市</w:t>
      </w:r>
      <w:r>
        <w:rPr>
          <w:rStyle w:val="8"/>
          <w:rFonts w:hint="eastAsia" w:ascii="黑体" w:hAnsi="Calibri" w:eastAsia="黑体"/>
          <w:b w:val="0"/>
          <w:color w:val="000000"/>
          <w:sz w:val="32"/>
          <w:szCs w:val="32"/>
        </w:rPr>
        <w:t>教育局单位</w:t>
      </w:r>
      <w:r>
        <w:rPr>
          <w:rStyle w:val="8"/>
          <w:rFonts w:hint="eastAsia" w:ascii="黑体" w:eastAsia="黑体"/>
          <w:b w:val="0"/>
          <w:color w:val="000000"/>
          <w:sz w:val="32"/>
          <w:szCs w:val="32"/>
        </w:rPr>
        <w:t>预算安排情况说明</w:t>
      </w:r>
      <w:r>
        <w:rPr>
          <w:rFonts w:hint="eastAsia"/>
          <w:color w:val="000000"/>
          <w:sz w:val="32"/>
          <w:szCs w:val="32"/>
        </w:rPr>
        <w:br w:type="textWrapping"/>
      </w:r>
      <w:r>
        <w:rPr>
          <w:rFonts w:hint="eastAsia"/>
          <w:color w:val="000000"/>
          <w:sz w:val="32"/>
          <w:szCs w:val="32"/>
        </w:rPr>
        <w:t xml:space="preserve">   </w:t>
      </w:r>
      <w:r>
        <w:rPr>
          <w:rFonts w:hint="eastAsia" w:ascii="楷体_GB2312" w:hAnsi="楷体_GB2312" w:eastAsia="楷体_GB2312" w:cs="楷体_GB2312"/>
          <w:bCs/>
          <w:color w:val="000000"/>
          <w:sz w:val="32"/>
          <w:szCs w:val="32"/>
        </w:rPr>
        <w:t>（一）关于丽水市教育局2023年收支预算情况的总体说明</w:t>
      </w:r>
    </w:p>
    <w:p>
      <w:pPr>
        <w:spacing w:line="560" w:lineRule="exact"/>
        <w:ind w:firstLine="321" w:firstLineChars="100"/>
        <w:rPr>
          <w:rFonts w:ascii="楷体_GB2312" w:hAnsi="楷体_GB2312" w:eastAsia="楷体_GB2312" w:cs="楷体_GB2312"/>
          <w:b/>
          <w:sz w:val="32"/>
          <w:szCs w:val="32"/>
        </w:rPr>
      </w:pPr>
      <w:r>
        <w:rPr>
          <w:rFonts w:hint="eastAsia" w:ascii="楷体_GB2312" w:hAnsi="楷体_GB2312" w:eastAsia="楷体_GB2312" w:cs="楷体_GB2312"/>
          <w:b/>
          <w:color w:val="000000"/>
          <w:sz w:val="32"/>
          <w:szCs w:val="32"/>
        </w:rPr>
        <w:t xml:space="preserve">  </w:t>
      </w:r>
      <w:r>
        <w:rPr>
          <w:rFonts w:hint="eastAsia" w:ascii="仿宋_GB2312" w:eastAsia="仿宋_GB2312"/>
          <w:bCs/>
          <w:color w:val="000000"/>
          <w:sz w:val="32"/>
          <w:szCs w:val="32"/>
        </w:rPr>
        <w:t>按照</w:t>
      </w:r>
      <w:r>
        <w:rPr>
          <w:rFonts w:hint="eastAsia" w:ascii="仿宋_GB2312" w:eastAsia="仿宋_GB2312"/>
          <w:bCs/>
          <w:sz w:val="32"/>
          <w:szCs w:val="32"/>
        </w:rPr>
        <w:t>综合预算的原则，</w:t>
      </w:r>
      <w:r>
        <w:rPr>
          <w:rFonts w:hint="eastAsia" w:ascii="仿宋_GB2312" w:eastAsia="仿宋_GB2312"/>
          <w:color w:val="000000"/>
          <w:sz w:val="32"/>
          <w:szCs w:val="32"/>
        </w:rPr>
        <w:t>丽水市教育局所有收入和支出均纳入单位预算管理。收入包括：一般公共预算拨款收入、政府性基金预算收入；支出包括：教育支出、社会保障和就业支出、卫生健康支出、城乡社区支出。丽水市教育局2023年收支总预算50974.95万元</w:t>
      </w:r>
      <w:r>
        <w:rPr>
          <w:rFonts w:hint="eastAsia" w:ascii="仿宋_GB2312" w:eastAsia="仿宋_GB2312"/>
          <w:sz w:val="32"/>
          <w:szCs w:val="32"/>
        </w:rPr>
        <w:t>。</w:t>
      </w:r>
    </w:p>
    <w:p>
      <w:pPr>
        <w:spacing w:line="520" w:lineRule="exact"/>
        <w:ind w:firstLine="642"/>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（二）关于丽水市教育局2023年收入预算情况说明</w:t>
      </w:r>
    </w:p>
    <w:p>
      <w:pPr>
        <w:spacing w:line="520" w:lineRule="exact"/>
        <w:ind w:firstLine="642"/>
        <w:rPr>
          <w:rFonts w:ascii="仿宋_GB2312" w:eastAsia="仿宋_GB2312"/>
          <w:color w:val="000000"/>
          <w:sz w:val="32"/>
          <w:szCs w:val="32"/>
        </w:rPr>
      </w:pPr>
      <w:r>
        <w:rPr>
          <w:rFonts w:hint="eastAsia" w:ascii="仿宋_GB2312" w:hAnsi="仿宋_GB2312" w:eastAsia="仿宋_GB2312" w:cs="仿宋_GB2312"/>
          <w:color w:val="000000"/>
          <w:sz w:val="32"/>
          <w:szCs w:val="32"/>
        </w:rPr>
        <w:t>丽水市教育局2023年收入预算</w:t>
      </w:r>
      <w:r>
        <w:rPr>
          <w:rFonts w:hint="eastAsia" w:ascii="仿宋_GB2312" w:eastAsia="仿宋_GB2312"/>
          <w:color w:val="000000"/>
          <w:sz w:val="32"/>
          <w:szCs w:val="32"/>
        </w:rPr>
        <w:t>50974.95</w:t>
      </w:r>
      <w:r>
        <w:rPr>
          <w:rFonts w:hint="eastAsia" w:ascii="仿宋_GB2312" w:hAnsi="仿宋_GB2312" w:eastAsia="仿宋_GB2312" w:cs="仿宋_GB2312"/>
          <w:color w:val="000000"/>
          <w:sz w:val="32"/>
          <w:szCs w:val="32"/>
        </w:rPr>
        <w:t>万元，比上年执行数增加</w:t>
      </w:r>
      <w:r>
        <w:rPr>
          <w:rFonts w:hint="eastAsia" w:ascii="仿宋_GB2312" w:hAnsi="仿宋_GB2312" w:eastAsia="仿宋_GB2312" w:cs="仿宋_GB2312"/>
          <w:color w:val="000000"/>
          <w:sz w:val="32"/>
          <w:szCs w:val="32"/>
          <w:highlight w:val="none"/>
          <w:lang w:val="en-US" w:eastAsia="zh-CN"/>
        </w:rPr>
        <w:t>8224.74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highlight w:val="none"/>
        </w:rPr>
        <w:t>增</w:t>
      </w:r>
      <w:r>
        <w:rPr>
          <w:rFonts w:hint="eastAsia" w:ascii="仿宋_GB2312" w:hAnsi="仿宋_GB2312" w:eastAsia="仿宋_GB2312" w:cs="仿宋_GB2312"/>
          <w:color w:val="000000"/>
          <w:sz w:val="32"/>
          <w:szCs w:val="32"/>
          <w:highlight w:val="none"/>
        </w:rPr>
        <w:t>长</w:t>
      </w:r>
      <w:r>
        <w:rPr>
          <w:rFonts w:hint="eastAsia" w:ascii="仿宋_GB2312" w:hAnsi="仿宋_GB2312" w:eastAsia="仿宋_GB2312" w:cs="仿宋_GB2312"/>
          <w:color w:val="000000"/>
          <w:sz w:val="32"/>
          <w:szCs w:val="32"/>
          <w:highlight w:val="none"/>
          <w:lang w:val="en-US" w:eastAsia="zh-CN"/>
        </w:rPr>
        <w:t>19</w:t>
      </w:r>
      <w:r>
        <w:rPr>
          <w:rFonts w:hint="eastAsia"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主要是灵山未来学校新建工程项目拨款增加及增加莲都区培智学校新建工程。</w:t>
      </w:r>
    </w:p>
    <w:p>
      <w:pPr>
        <w:spacing w:line="520" w:lineRule="exact"/>
        <w:ind w:firstLine="642"/>
        <w:rPr>
          <w:rFonts w:hint="eastAsia" w:ascii="仿宋_GB2312" w:eastAsia="仿宋_GB2312"/>
          <w:color w:val="000000"/>
          <w:sz w:val="32"/>
          <w:szCs w:val="32"/>
        </w:rPr>
      </w:pPr>
      <w:r>
        <w:rPr>
          <w:rFonts w:hint="eastAsia" w:ascii="仿宋_GB2312" w:eastAsia="仿宋_GB2312"/>
          <w:color w:val="000000"/>
          <w:sz w:val="32"/>
          <w:szCs w:val="32"/>
        </w:rPr>
        <w:t>其中：一般公共预算拨款收入30373万元，占59.6%；政府性基金收入20601.95万元，占40.4%。</w:t>
      </w:r>
      <w:r>
        <w:rPr>
          <w:rFonts w:hint="eastAsia" w:ascii="仿宋_GB2312" w:eastAsia="仿宋_GB2312"/>
          <w:color w:val="000000"/>
          <w:sz w:val="32"/>
          <w:szCs w:val="32"/>
        </w:rPr>
        <w:br w:type="textWrapping"/>
      </w:r>
      <w:r>
        <w:rPr>
          <w:rFonts w:hint="eastAsia" w:ascii="楷体_GB2312" w:hAnsi="楷体_GB2312" w:eastAsia="楷体_GB2312" w:cs="楷体_GB2312"/>
          <w:bCs/>
          <w:color w:val="000000"/>
          <w:sz w:val="32"/>
          <w:szCs w:val="32"/>
        </w:rPr>
        <w:t>　　（三）关于教育局2023年支出预算情况说明</w:t>
      </w:r>
      <w:r>
        <w:rPr>
          <w:rFonts w:hint="eastAsia" w:ascii="楷体_GB2312" w:hAnsi="楷体_GB2312" w:eastAsia="楷体_GB2312" w:cs="楷体_GB2312"/>
          <w:bCs/>
          <w:color w:val="000000"/>
          <w:sz w:val="32"/>
          <w:szCs w:val="32"/>
        </w:rPr>
        <w:br w:type="textWrapping"/>
      </w:r>
      <w:r>
        <w:rPr>
          <w:rFonts w:hint="eastAsia" w:ascii="仿宋_GB2312" w:eastAsia="仿宋_GB2312"/>
          <w:color w:val="000000"/>
          <w:sz w:val="32"/>
          <w:szCs w:val="32"/>
        </w:rPr>
        <w:t>　</w:t>
      </w:r>
      <w:r>
        <w:rPr>
          <w:rFonts w:hint="eastAsia" w:ascii="仿宋_GB2312" w:hAnsi="仿宋_GB2312" w:eastAsia="仿宋_GB2312" w:cs="仿宋_GB2312"/>
          <w:color w:val="000000"/>
          <w:sz w:val="32"/>
          <w:szCs w:val="32"/>
        </w:rPr>
        <w:t>　</w:t>
      </w:r>
      <w:r>
        <w:rPr>
          <w:rFonts w:hint="eastAsia" w:ascii="仿宋_GB2312" w:eastAsia="仿宋_GB2312"/>
          <w:kern w:val="0"/>
          <w:sz w:val="32"/>
          <w:szCs w:val="32"/>
        </w:rPr>
        <w:t>丽水市教育局</w:t>
      </w:r>
      <w:r>
        <w:rPr>
          <w:rFonts w:hint="eastAsia" w:ascii="仿宋_GB2312" w:hAnsi="仿宋_GB2312" w:eastAsia="仿宋_GB2312" w:cs="仿宋_GB2312"/>
          <w:color w:val="000000"/>
          <w:sz w:val="32"/>
          <w:szCs w:val="32"/>
        </w:rPr>
        <w:t>2023年支出预算</w:t>
      </w:r>
      <w:r>
        <w:rPr>
          <w:rFonts w:hint="eastAsia" w:ascii="仿宋_GB2312" w:eastAsia="仿宋_GB2312"/>
          <w:color w:val="000000"/>
          <w:sz w:val="32"/>
          <w:szCs w:val="32"/>
        </w:rPr>
        <w:t>50974.95</w:t>
      </w:r>
      <w:r>
        <w:rPr>
          <w:rFonts w:hint="eastAsia" w:ascii="仿宋_GB2312" w:hAnsi="仿宋_GB2312" w:eastAsia="仿宋_GB2312" w:cs="仿宋_GB2312"/>
          <w:color w:val="000000"/>
          <w:sz w:val="32"/>
          <w:szCs w:val="32"/>
        </w:rPr>
        <w:t>万元，比上年</w:t>
      </w:r>
      <w:r>
        <w:rPr>
          <w:rFonts w:hint="eastAsia" w:ascii="仿宋_GB2312" w:hAnsi="仿宋_GB2312" w:eastAsia="仿宋_GB2312" w:cs="仿宋_GB2312"/>
          <w:color w:val="000000"/>
          <w:sz w:val="32"/>
          <w:szCs w:val="32"/>
          <w:highlight w:val="none"/>
        </w:rPr>
        <w:t>执行数增加</w:t>
      </w:r>
      <w:r>
        <w:rPr>
          <w:rFonts w:hint="eastAsia" w:ascii="仿宋_GB2312" w:hAnsi="仿宋_GB2312" w:eastAsia="仿宋_GB2312" w:cs="仿宋_GB2312"/>
          <w:color w:val="000000"/>
          <w:sz w:val="32"/>
          <w:szCs w:val="32"/>
          <w:highlight w:val="none"/>
          <w:lang w:val="en-US" w:eastAsia="zh-CN"/>
        </w:rPr>
        <w:t>8224.74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highlight w:val="none"/>
        </w:rPr>
        <w:t>增</w:t>
      </w:r>
      <w:r>
        <w:rPr>
          <w:rFonts w:hint="eastAsia" w:ascii="仿宋_GB2312" w:hAnsi="仿宋_GB2312" w:eastAsia="仿宋_GB2312" w:cs="仿宋_GB2312"/>
          <w:color w:val="000000"/>
          <w:sz w:val="32"/>
          <w:szCs w:val="32"/>
          <w:highlight w:val="none"/>
        </w:rPr>
        <w:t>长</w:t>
      </w:r>
      <w:r>
        <w:rPr>
          <w:rFonts w:hint="eastAsia" w:ascii="仿宋_GB2312" w:hAnsi="仿宋_GB2312" w:eastAsia="仿宋_GB2312" w:cs="仿宋_GB2312"/>
          <w:color w:val="000000"/>
          <w:sz w:val="32"/>
          <w:szCs w:val="32"/>
          <w:highlight w:val="none"/>
          <w:lang w:val="en-US" w:eastAsia="zh-CN"/>
        </w:rPr>
        <w:t>19</w:t>
      </w:r>
      <w:r>
        <w:rPr>
          <w:rFonts w:hint="eastAsia"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主要是灵山未来学校新建工程项目拨款增加及增加莲都区培智学校新建工程。</w:t>
      </w:r>
    </w:p>
    <w:p>
      <w:pPr>
        <w:spacing w:line="520" w:lineRule="exact"/>
        <w:ind w:firstLine="630"/>
        <w:rPr>
          <w:rFonts w:ascii="仿宋_GB2312" w:eastAsia="仿宋_GB2312"/>
          <w:color w:val="000000"/>
          <w:sz w:val="32"/>
          <w:szCs w:val="32"/>
        </w:rPr>
      </w:pPr>
      <w:r>
        <w:rPr>
          <w:rFonts w:hint="eastAsia" w:ascii="仿宋_GB2312" w:eastAsia="仿宋_GB2312"/>
          <w:color w:val="000000"/>
          <w:sz w:val="32"/>
          <w:szCs w:val="32"/>
        </w:rPr>
        <w:t>1.按支出功能分类，包括教育支出30185.69万元、社会保障和就业支出109.11万元、卫生健康支出78.20万元、城乡社区支出20601.95万元。</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2.按支出用途分类，包括人员支出903.41万元，占1.</w:t>
      </w:r>
      <w:r>
        <w:rPr>
          <w:rFonts w:ascii="仿宋_GB2312" w:eastAsia="仿宋_GB2312"/>
          <w:color w:val="000000"/>
          <w:sz w:val="32"/>
          <w:szCs w:val="32"/>
        </w:rPr>
        <w:t>8</w:t>
      </w:r>
      <w:r>
        <w:rPr>
          <w:rFonts w:hint="eastAsia" w:ascii="仿宋_GB2312" w:eastAsia="仿宋_GB2312"/>
          <w:color w:val="000000"/>
          <w:sz w:val="32"/>
          <w:szCs w:val="32"/>
        </w:rPr>
        <w:t>%；日常公用支出412.73万元，占0.8%；项目支出49658.81万元，占97.4%。</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结转下年0万元。</w:t>
      </w:r>
    </w:p>
    <w:p>
      <w:pPr>
        <w:spacing w:line="520" w:lineRule="exact"/>
        <w:ind w:firstLine="627" w:firstLineChars="196"/>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（四）关于丽水市教育局2023年财政拨款收支预算情况的总体说明</w:t>
      </w:r>
    </w:p>
    <w:p>
      <w:pPr>
        <w:spacing w:line="520" w:lineRule="exact"/>
        <w:ind w:firstLine="630"/>
        <w:rPr>
          <w:rFonts w:hint="eastAsia" w:ascii="仿宋_GB2312" w:eastAsia="仿宋_GB2312"/>
          <w:color w:val="000000"/>
          <w:sz w:val="32"/>
          <w:szCs w:val="32"/>
        </w:rPr>
      </w:pPr>
      <w:r>
        <w:rPr>
          <w:rFonts w:hint="eastAsia" w:ascii="仿宋_GB2312" w:eastAsia="仿宋_GB2312"/>
          <w:color w:val="000000"/>
          <w:sz w:val="32"/>
          <w:szCs w:val="32"/>
        </w:rPr>
        <w:t>丽水市教育局2023年财政拨款收支总预算50974.95万元。收入包括：一般公共预算30373万元、政府性基金20601.95万元；支出包括：教育支出30185.69万元、社会保障和就业支出109.11万元、卫生健康支出78.20万元、城乡社区支出20601.95万元。</w:t>
      </w:r>
    </w:p>
    <w:p>
      <w:pPr>
        <w:numPr>
          <w:ilvl w:val="0"/>
          <w:numId w:val="1"/>
        </w:numPr>
        <w:spacing w:line="520" w:lineRule="exact"/>
        <w:ind w:firstLine="64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关于丽水市教育局2023年一般公共预算当年拨款情况说明</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1.一般公共预算当年拨款规模变化情况。</w:t>
      </w:r>
    </w:p>
    <w:p>
      <w:pPr>
        <w:spacing w:line="520" w:lineRule="exact"/>
        <w:ind w:firstLine="642"/>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丽水市教育局2023年一般公共预算当年拨款</w:t>
      </w:r>
      <w:r>
        <w:rPr>
          <w:rFonts w:hint="eastAsia" w:ascii="仿宋_GB2312" w:eastAsia="仿宋_GB2312"/>
          <w:color w:val="000000"/>
          <w:sz w:val="32"/>
          <w:szCs w:val="32"/>
        </w:rPr>
        <w:t>30373</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highlight w:val="none"/>
        </w:rPr>
        <w:t>比上年执行数</w:t>
      </w:r>
      <w:r>
        <w:rPr>
          <w:rFonts w:hint="eastAsia" w:ascii="仿宋_GB2312" w:hAnsi="仿宋_GB2312" w:eastAsia="仿宋_GB2312" w:cs="仿宋_GB2312"/>
          <w:color w:val="000000"/>
          <w:sz w:val="32"/>
          <w:szCs w:val="32"/>
          <w:highlight w:val="none"/>
          <w:lang w:eastAsia="zh-CN"/>
        </w:rPr>
        <w:t>减少</w:t>
      </w:r>
      <w:r>
        <w:rPr>
          <w:rFonts w:hint="eastAsia" w:ascii="仿宋_GB2312" w:hAnsi="仿宋_GB2312" w:eastAsia="仿宋_GB2312" w:cs="仿宋_GB2312"/>
          <w:color w:val="000000"/>
          <w:sz w:val="32"/>
          <w:szCs w:val="32"/>
          <w:highlight w:val="none"/>
          <w:lang w:val="en-US" w:eastAsia="zh-CN"/>
        </w:rPr>
        <w:t>366.21</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减少</w:t>
      </w:r>
      <w:r>
        <w:rPr>
          <w:rFonts w:hint="eastAsia" w:ascii="仿宋_GB2312" w:hAnsi="仿宋_GB2312" w:eastAsia="仿宋_GB2312" w:cs="仿宋_GB2312"/>
          <w:color w:val="000000"/>
          <w:sz w:val="32"/>
          <w:szCs w:val="32"/>
          <w:highlight w:val="none"/>
          <w:lang w:val="en-US" w:eastAsia="zh-CN"/>
        </w:rPr>
        <w:t>1.2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w:t>
      </w:r>
      <w:r>
        <w:rPr>
          <w:rFonts w:hint="eastAsia" w:ascii="仿宋_GB2312" w:hAnsi="仿宋_GB2312" w:eastAsia="仿宋_GB2312" w:cs="仿宋_GB2312"/>
          <w:color w:val="000000"/>
          <w:sz w:val="32"/>
          <w:szCs w:val="32"/>
          <w:lang w:eastAsia="zh-CN"/>
        </w:rPr>
        <w:t>旅游学校新建工程款减少</w:t>
      </w:r>
      <w:r>
        <w:rPr>
          <w:rFonts w:hint="eastAsia" w:ascii="仿宋_GB2312" w:hAnsi="仿宋_GB2312" w:eastAsia="仿宋_GB2312" w:cs="仿宋_GB2312"/>
          <w:sz w:val="32"/>
          <w:szCs w:val="32"/>
          <w:highlight w:val="none"/>
        </w:rPr>
        <w:t>。</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2.一般公共预算当年拨款结构情况。</w:t>
      </w:r>
    </w:p>
    <w:p>
      <w:pPr>
        <w:spacing w:line="520" w:lineRule="exact"/>
        <w:ind w:firstLine="640" w:firstLineChars="200"/>
        <w:rPr>
          <w:rFonts w:ascii="仿宋_GB2312" w:hAnsi="仿宋_GB2312" w:eastAsia="仿宋_GB2312" w:cs="仿宋_GB2312"/>
          <w:b/>
          <w:color w:val="000000"/>
          <w:sz w:val="32"/>
          <w:szCs w:val="32"/>
          <w:highlight w:val="none"/>
        </w:rPr>
      </w:pPr>
      <w:r>
        <w:rPr>
          <w:rFonts w:hint="eastAsia" w:ascii="仿宋_GB2312" w:hAnsi="仿宋_GB2312" w:eastAsia="仿宋_GB2312" w:cs="仿宋_GB2312"/>
          <w:color w:val="000000"/>
          <w:sz w:val="32"/>
          <w:szCs w:val="32"/>
          <w:highlight w:val="none"/>
        </w:rPr>
        <w:t>教育（类）支出</w:t>
      </w:r>
      <w:r>
        <w:rPr>
          <w:rFonts w:hint="eastAsia" w:ascii="仿宋_GB2312" w:eastAsia="仿宋_GB2312"/>
          <w:color w:val="000000"/>
          <w:sz w:val="32"/>
          <w:szCs w:val="32"/>
          <w:highlight w:val="none"/>
        </w:rPr>
        <w:t>30185.69</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99.4</w:t>
      </w:r>
      <w:r>
        <w:rPr>
          <w:rFonts w:hint="eastAsia" w:ascii="仿宋_GB2312" w:hAnsi="仿宋_GB2312" w:eastAsia="仿宋_GB2312" w:cs="仿宋_GB2312"/>
          <w:color w:val="000000"/>
          <w:sz w:val="32"/>
          <w:szCs w:val="32"/>
          <w:highlight w:val="none"/>
        </w:rPr>
        <w:t>%；社会保障和就业（类）支出</w:t>
      </w:r>
      <w:r>
        <w:rPr>
          <w:rFonts w:hint="eastAsia" w:ascii="仿宋_GB2312" w:eastAsia="仿宋_GB2312"/>
          <w:color w:val="000000"/>
          <w:sz w:val="32"/>
          <w:szCs w:val="32"/>
          <w:highlight w:val="none"/>
        </w:rPr>
        <w:t>109.11</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0.4</w:t>
      </w:r>
      <w:r>
        <w:rPr>
          <w:rFonts w:hint="eastAsia" w:ascii="仿宋_GB2312" w:hAnsi="仿宋_GB2312" w:eastAsia="仿宋_GB2312" w:cs="仿宋_GB2312"/>
          <w:color w:val="000000"/>
          <w:sz w:val="32"/>
          <w:szCs w:val="32"/>
          <w:highlight w:val="none"/>
        </w:rPr>
        <w:t>%；卫生健康（类）支出</w:t>
      </w:r>
      <w:r>
        <w:rPr>
          <w:rFonts w:hint="eastAsia" w:ascii="仿宋_GB2312" w:eastAsia="仿宋_GB2312"/>
          <w:color w:val="000000"/>
          <w:sz w:val="32"/>
          <w:szCs w:val="32"/>
          <w:highlight w:val="none"/>
        </w:rPr>
        <w:t>78.20</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0.2</w:t>
      </w:r>
      <w:r>
        <w:rPr>
          <w:rFonts w:hint="eastAsia" w:ascii="仿宋_GB2312" w:hAnsi="仿宋_GB2312" w:eastAsia="仿宋_GB2312" w:cs="仿宋_GB2312"/>
          <w:color w:val="000000"/>
          <w:sz w:val="32"/>
          <w:szCs w:val="32"/>
          <w:highlight w:val="none"/>
        </w:rPr>
        <w:t>%。</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3.一般公共预算当年拨款具体使用情况。</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（1）教育支出（类）教育管理事务（款）行政运行（项）安排</w:t>
      </w:r>
      <w:r>
        <w:rPr>
          <w:rFonts w:hint="eastAsia" w:ascii="仿宋_GB2312" w:eastAsia="仿宋_GB2312"/>
          <w:color w:val="000000"/>
          <w:sz w:val="32"/>
          <w:szCs w:val="32"/>
          <w:highlight w:val="none"/>
        </w:rPr>
        <w:t>1128.83</w:t>
      </w:r>
      <w:r>
        <w:rPr>
          <w:rFonts w:hint="eastAsia" w:ascii="仿宋_GB2312" w:eastAsia="仿宋_GB2312"/>
          <w:color w:val="000000"/>
          <w:sz w:val="32"/>
          <w:szCs w:val="32"/>
        </w:rPr>
        <w:t>万元，主要用于市教育局机关在职人员、日常公用。</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（2）教育支出（类）教育管理事务（款）其他教育管理事务（项）安排237.24万元，主要用于市教育局督导经费、教育布局规划修编经费、教育宣传经费等方面支出。</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（3）教育支出（类）普通教育（款）学前教育（项）157.01万元，主要用于新学生资助补助经费(学前教育保育费)和支持学前教育发展资金。</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（4）教育支出（类）普通教育（款）小学教育（项）5000万元，主要用于灵山未来学校新建工程。</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（5）教育支出（类）普通教育（款）高中教育（项）61.44万元，主要用于学生资助补助经费(普高免学费和国家助学金)和改善基础教育办学条件(非义务教育阶段免费读本).</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（6）教育支出（类）普通教育（款）其他普通教育支出（项）安排7660.76万元，主要用于教育新政兑现经费(人才发展)、省教育发展专项资金、义务教育领域钱随人走补助经费等项目支出。</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7）教育支出（类）职业教育（款）中等职业教育（项）安排9495.38万元，主要用于中等职业教育补助资金、现代职业教育质量提升计划资金、学生资助补助经费(民办中职学校公用经费)、丽水旅游学校新建工程（产业提升）等。</w:t>
      </w:r>
    </w:p>
    <w:p>
      <w:pPr>
        <w:spacing w:line="560" w:lineRule="exact"/>
        <w:ind w:firstLine="640"/>
        <w:jc w:val="left"/>
        <w:rPr>
          <w:rFonts w:ascii="仿宋_GB2312" w:eastAsia="仿宋_GB2312"/>
          <w:color w:val="000000"/>
          <w:sz w:val="32"/>
          <w:szCs w:val="32"/>
          <w:highlight w:val="red"/>
        </w:rPr>
      </w:pPr>
      <w:r>
        <w:rPr>
          <w:rFonts w:hint="eastAsia"/>
        </w:rPr>
        <w:t xml:space="preserve"> </w:t>
      </w:r>
      <w:r>
        <w:rPr>
          <w:rFonts w:hint="eastAsia" w:ascii="仿宋_GB2312" w:eastAsia="仿宋_GB2312"/>
          <w:color w:val="000000"/>
          <w:sz w:val="32"/>
          <w:szCs w:val="32"/>
        </w:rPr>
        <w:t>（8）教育支出（类）其他教育支出（款）其他教育支出（项）安排6445.03万元，主要用于学校委托管理费、市本级民办义务教育学校购买学位经费(教育提质)、民办教育扶持资金等。</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（9）社会保障和就业支出（类）行政事业单位养老支出（款）机关事业单位基本养老保险缴费支出（项）安排68.94万元，主要用于</w:t>
      </w:r>
      <w:r>
        <w:rPr>
          <w:rFonts w:hint="eastAsia" w:ascii="仿宋_GB2312" w:eastAsia="仿宋_GB2312"/>
          <w:kern w:val="0"/>
          <w:sz w:val="32"/>
          <w:szCs w:val="32"/>
        </w:rPr>
        <w:t>丽水市教育局</w:t>
      </w:r>
      <w:r>
        <w:rPr>
          <w:rFonts w:hint="eastAsia" w:ascii="仿宋_GB2312" w:eastAsia="仿宋_GB2312"/>
          <w:color w:val="000000"/>
          <w:sz w:val="32"/>
          <w:szCs w:val="32"/>
        </w:rPr>
        <w:t>（本级）机关职人员养老保险单位部分缴费支出。</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（10）社会保障和就业支出（类）行政事业单位养老支出（款）机关事业单位职业年金缴费支出（项）安排34.47万元，主要用于</w:t>
      </w:r>
      <w:r>
        <w:rPr>
          <w:rFonts w:hint="eastAsia" w:ascii="仿宋_GB2312" w:eastAsia="仿宋_GB2312"/>
          <w:kern w:val="0"/>
          <w:sz w:val="32"/>
          <w:szCs w:val="32"/>
        </w:rPr>
        <w:t>丽水市教育局</w:t>
      </w:r>
      <w:r>
        <w:rPr>
          <w:rFonts w:hint="eastAsia" w:ascii="仿宋_GB2312" w:eastAsia="仿宋_GB2312"/>
          <w:color w:val="000000"/>
          <w:sz w:val="32"/>
          <w:szCs w:val="32"/>
        </w:rPr>
        <w:t>（本级）机关在职人员职业年金单位部分缴费支出。</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（11）社会保障和就业支出（类）其他社会保障和就业支出（款）其他社会保障和就业支出（项）安排5.70万元，主要用于</w:t>
      </w:r>
      <w:r>
        <w:rPr>
          <w:rFonts w:hint="eastAsia" w:ascii="仿宋_GB2312" w:eastAsia="仿宋_GB2312"/>
          <w:kern w:val="0"/>
          <w:sz w:val="32"/>
          <w:szCs w:val="32"/>
        </w:rPr>
        <w:t>丽水市教育局</w:t>
      </w:r>
      <w:r>
        <w:rPr>
          <w:rFonts w:hint="eastAsia" w:ascii="仿宋_GB2312" w:eastAsia="仿宋_GB2312"/>
          <w:color w:val="000000"/>
          <w:sz w:val="32"/>
          <w:szCs w:val="32"/>
        </w:rPr>
        <w:t>机关在职人员工伤保险、失业保险单位部分缴费和残疾人保障金缴费支出。</w:t>
      </w:r>
    </w:p>
    <w:p>
      <w:pPr>
        <w:spacing w:line="560" w:lineRule="exact"/>
        <w:ind w:firstLine="640"/>
        <w:jc w:val="left"/>
        <w:rPr>
          <w:rFonts w:ascii="仿宋_GB2312" w:eastAsia="仿宋_GB2312"/>
          <w:color w:val="000000"/>
          <w:sz w:val="32"/>
          <w:szCs w:val="32"/>
        </w:rPr>
      </w:pPr>
      <w:r>
        <w:rPr>
          <w:rFonts w:hint="eastAsia" w:ascii="仿宋_GB2312" w:eastAsia="仿宋_GB2312"/>
          <w:color w:val="000000"/>
          <w:sz w:val="32"/>
          <w:szCs w:val="32"/>
        </w:rPr>
        <w:t>（12）卫生健康支出（类）行政事业单位医疗（款）行政单位医疗（项）安排78.20万元，主要用于</w:t>
      </w:r>
      <w:r>
        <w:rPr>
          <w:rFonts w:hint="eastAsia" w:ascii="仿宋_GB2312" w:eastAsia="仿宋_GB2312"/>
          <w:kern w:val="0"/>
          <w:sz w:val="32"/>
          <w:szCs w:val="32"/>
        </w:rPr>
        <w:t>丽水市教育局</w:t>
      </w:r>
      <w:r>
        <w:rPr>
          <w:rFonts w:hint="eastAsia" w:ascii="仿宋_GB2312" w:eastAsia="仿宋_GB2312"/>
          <w:color w:val="000000"/>
          <w:sz w:val="32"/>
          <w:szCs w:val="32"/>
        </w:rPr>
        <w:t>机关在职和离退休人员医疗保险的支出。</w:t>
      </w:r>
    </w:p>
    <w:p>
      <w:pPr>
        <w:spacing w:line="520" w:lineRule="exact"/>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 xml:space="preserve">    （六）关于丽水市教育局2023年一般公共预算基本支出情况说明</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丽水市教育局2023年一般公共预算基本支出1316.14万元，其中：</w:t>
      </w:r>
    </w:p>
    <w:p>
      <w:pPr>
        <w:spacing w:line="520" w:lineRule="exact"/>
        <w:ind w:firstLine="642"/>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rPr>
        <w:t>人员经费903.41万元，主要包括：基本工资、津贴补贴、奖金、机关事业单位基本养老保险缴费、职业年金缴费、职工基本医疗保险缴费、公务员医疗补助缴费、其他社会保障缴费、住房公积金、</w:t>
      </w:r>
      <w:r>
        <w:rPr>
          <w:rFonts w:hint="eastAsia" w:ascii="仿宋_GB2312" w:eastAsia="仿宋_GB2312"/>
          <w:color w:val="000000"/>
          <w:sz w:val="32"/>
          <w:szCs w:val="32"/>
          <w:highlight w:val="none"/>
        </w:rPr>
        <w:t>其他工资福利支出、离休费、退休费</w:t>
      </w:r>
      <w:r>
        <w:rPr>
          <w:rFonts w:hint="eastAsia" w:ascii="仿宋_GB2312" w:eastAsia="仿宋_GB2312"/>
          <w:color w:val="000000"/>
          <w:sz w:val="32"/>
          <w:szCs w:val="32"/>
          <w:highlight w:val="none"/>
          <w:lang w:val="en-US" w:eastAsia="zh-CN"/>
        </w:rPr>
        <w:t xml:space="preserve">.  </w:t>
      </w:r>
    </w:p>
    <w:p>
      <w:pPr>
        <w:spacing w:line="520" w:lineRule="exact"/>
        <w:ind w:firstLine="642"/>
        <w:rPr>
          <w:rFonts w:ascii="仿宋_GB2312" w:eastAsia="仿宋_GB2312"/>
          <w:color w:val="000000"/>
          <w:sz w:val="32"/>
          <w:szCs w:val="32"/>
        </w:rPr>
      </w:pPr>
      <w:r>
        <w:rPr>
          <w:rFonts w:hint="eastAsia" w:ascii="仿宋_GB2312" w:eastAsia="仿宋_GB2312"/>
          <w:color w:val="000000"/>
          <w:sz w:val="32"/>
          <w:szCs w:val="32"/>
        </w:rPr>
        <w:t>公用经费412.73万元，主要包括：办公费、印刷费、水费、电费、邮电费、物业管理费、差旅费、维修（护）费、租赁费、会议费、培训费、公务接待费、劳务费、委托业务费、工会经费、福利费、其他交通费用、其他商品和服务支出。</w:t>
      </w:r>
    </w:p>
    <w:p>
      <w:pPr>
        <w:spacing w:line="520" w:lineRule="exact"/>
        <w:ind w:firstLine="642"/>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（七）关于丽水市教育局2023年政府性基金预算支出情况说明</w:t>
      </w:r>
    </w:p>
    <w:p>
      <w:pPr>
        <w:numPr>
          <w:ilvl w:val="255"/>
          <w:numId w:val="0"/>
        </w:numPr>
        <w:spacing w:line="520" w:lineRule="exact"/>
        <w:rPr>
          <w:rFonts w:ascii="仿宋_GB2312" w:hAnsi="仿宋_GB2312" w:eastAsia="仿宋_GB2312" w:cs="仿宋_GB2312"/>
          <w:b/>
          <w:color w:val="000000"/>
          <w:sz w:val="32"/>
          <w:szCs w:val="32"/>
        </w:rPr>
      </w:pPr>
      <w:r>
        <w:rPr>
          <w:rFonts w:hint="eastAsia" w:ascii="仿宋_GB2312" w:eastAsia="仿宋_GB2312"/>
          <w:color w:val="000000"/>
          <w:sz w:val="32"/>
          <w:szCs w:val="32"/>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b/>
          <w:color w:val="000000"/>
          <w:sz w:val="32"/>
          <w:szCs w:val="32"/>
        </w:rPr>
        <w:t>1.政府性基金预算当年拨款规模变化情况。</w:t>
      </w:r>
    </w:p>
    <w:p>
      <w:pPr>
        <w:spacing w:line="520" w:lineRule="exact"/>
        <w:ind w:firstLine="642"/>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丽水市教育局2023年政府性基金预算当年拨款20601.95万元</w:t>
      </w:r>
      <w:r>
        <w:rPr>
          <w:rFonts w:hint="eastAsia" w:ascii="仿宋_GB2312" w:hAnsi="仿宋_GB2312" w:eastAsia="仿宋_GB2312" w:cs="仿宋_GB2312"/>
          <w:color w:val="000000"/>
          <w:sz w:val="32"/>
          <w:szCs w:val="32"/>
          <w:highlight w:val="none"/>
        </w:rPr>
        <w:t>，比2022年执行数增加</w:t>
      </w:r>
      <w:r>
        <w:rPr>
          <w:rFonts w:hint="eastAsia" w:ascii="仿宋_GB2312" w:hAnsi="仿宋_GB2312" w:eastAsia="仿宋_GB2312" w:cs="仿宋_GB2312"/>
          <w:color w:val="000000"/>
          <w:sz w:val="32"/>
          <w:szCs w:val="32"/>
          <w:highlight w:val="none"/>
          <w:lang w:val="en-US" w:eastAsia="zh-CN"/>
        </w:rPr>
        <w:t>9019.95</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highlight w:val="none"/>
          <w:lang w:val="en-US" w:eastAsia="zh-CN"/>
        </w:rPr>
        <w:t>77.9</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szCs w:val="32"/>
          <w:highlight w:val="none"/>
        </w:rPr>
        <w:t>主要是</w:t>
      </w:r>
      <w:r>
        <w:rPr>
          <w:rFonts w:hint="eastAsia" w:ascii="仿宋_GB2312" w:eastAsia="仿宋_GB2312"/>
          <w:color w:val="000000"/>
          <w:sz w:val="32"/>
          <w:szCs w:val="32"/>
        </w:rPr>
        <w:t>灵山未来学校新建工程、新青林小学新建工程、灵山未来学校新建工程、宇雷小学新建工程</w:t>
      </w:r>
      <w:r>
        <w:rPr>
          <w:rFonts w:hint="eastAsia" w:ascii="仿宋_GB2312" w:eastAsia="仿宋_GB2312"/>
          <w:color w:val="000000"/>
          <w:sz w:val="32"/>
          <w:szCs w:val="32"/>
          <w:lang w:eastAsia="zh-CN"/>
        </w:rPr>
        <w:t>、</w:t>
      </w:r>
      <w:r>
        <w:rPr>
          <w:rFonts w:hint="eastAsia" w:ascii="仿宋_GB2312" w:eastAsia="仿宋_GB2312"/>
          <w:color w:val="000000"/>
          <w:sz w:val="32"/>
          <w:szCs w:val="32"/>
        </w:rPr>
        <w:t>莲都区培智学校新建工程</w:t>
      </w:r>
      <w:r>
        <w:rPr>
          <w:rFonts w:hint="eastAsia" w:ascii="仿宋_GB2312" w:hAnsi="仿宋_GB2312" w:eastAsia="仿宋_GB2312" w:cs="仿宋_GB2312"/>
          <w:color w:val="000000"/>
          <w:sz w:val="32"/>
          <w:szCs w:val="32"/>
        </w:rPr>
        <w:t>。</w:t>
      </w:r>
    </w:p>
    <w:p>
      <w:pPr>
        <w:spacing w:line="520" w:lineRule="exact"/>
        <w:ind w:firstLine="64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2.政府性基金预算当年拨款结构情况。</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城乡社区支出（类）支出20601.95万元，占100%。</w:t>
      </w:r>
    </w:p>
    <w:p>
      <w:pPr>
        <w:spacing w:line="52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b/>
          <w:color w:val="000000"/>
          <w:sz w:val="32"/>
          <w:szCs w:val="32"/>
        </w:rPr>
        <w:t>3.政府性基金预算当年拨款具体使用情况。</w:t>
      </w:r>
    </w:p>
    <w:p>
      <w:pPr>
        <w:spacing w:line="520" w:lineRule="exact"/>
        <w:ind w:firstLine="642"/>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eastAsia="仿宋_GB2312"/>
          <w:color w:val="000000"/>
          <w:sz w:val="32"/>
          <w:szCs w:val="32"/>
        </w:rPr>
        <w:t>城乡社区支出（类）国有土地使用权出让收入安排的支出（款）城市建设支出（项）</w:t>
      </w:r>
      <w:r>
        <w:rPr>
          <w:rFonts w:hint="eastAsia" w:ascii="仿宋_GB2312" w:hAnsi="仿宋_GB2312" w:eastAsia="仿宋_GB2312" w:cs="仿宋_GB2312"/>
          <w:color w:val="000000"/>
          <w:sz w:val="32"/>
          <w:szCs w:val="32"/>
        </w:rPr>
        <w:t>20601.95万元，主要是</w:t>
      </w:r>
      <w:r>
        <w:rPr>
          <w:rFonts w:hint="eastAsia" w:ascii="仿宋_GB2312" w:eastAsia="仿宋_GB2312"/>
          <w:color w:val="000000"/>
          <w:sz w:val="32"/>
          <w:szCs w:val="32"/>
        </w:rPr>
        <w:t>灵山未来学校新建工程、新青林小学新建工程、灵山未来学校新建工程、宇雷小学新建工程、莲都区培智学校新建工程</w:t>
      </w:r>
      <w:r>
        <w:rPr>
          <w:rFonts w:hint="eastAsia" w:ascii="仿宋_GB2312" w:hAnsi="仿宋_GB2312" w:eastAsia="仿宋_GB2312" w:cs="仿宋_GB2312"/>
          <w:color w:val="000000"/>
          <w:sz w:val="32"/>
          <w:szCs w:val="32"/>
        </w:rPr>
        <w:t>。</w:t>
      </w:r>
    </w:p>
    <w:p>
      <w:pPr>
        <w:numPr>
          <w:ilvl w:val="0"/>
          <w:numId w:val="2"/>
        </w:numPr>
        <w:spacing w:line="520" w:lineRule="exact"/>
        <w:ind w:firstLine="627" w:firstLineChars="196"/>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国有资本经营预算</w:t>
      </w:r>
    </w:p>
    <w:p>
      <w:pPr>
        <w:spacing w:line="520" w:lineRule="exact"/>
        <w:ind w:firstLine="627" w:firstLineChars="196"/>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丽水市教育局2023年没有使用国有资本经营预算拨款安排的支出。</w:t>
      </w:r>
    </w:p>
    <w:p>
      <w:pPr>
        <w:spacing w:line="520" w:lineRule="exact"/>
        <w:ind w:firstLine="627" w:firstLineChars="196"/>
        <w:rPr>
          <w:rFonts w:ascii="楷体_GB2312" w:hAnsi="楷体_GB2312" w:eastAsia="楷体_GB2312" w:cs="楷体_GB2312"/>
          <w:b/>
          <w:bCs/>
          <w:sz w:val="32"/>
          <w:szCs w:val="32"/>
        </w:rPr>
      </w:pPr>
      <w:r>
        <w:rPr>
          <w:rFonts w:hint="eastAsia" w:ascii="楷体_GB2312" w:hAnsi="楷体_GB2312" w:eastAsia="楷体_GB2312" w:cs="楷体_GB2312"/>
          <w:bCs/>
          <w:color w:val="000000"/>
          <w:sz w:val="32"/>
          <w:szCs w:val="32"/>
        </w:rPr>
        <w:t>（九）关于丽水市教育局2023年</w:t>
      </w:r>
      <w:r>
        <w:rPr>
          <w:rFonts w:hint="eastAsia" w:ascii="楷体_GB2312" w:hAnsi="楷体_GB2312" w:eastAsia="楷体_GB2312" w:cs="楷体_GB2312"/>
          <w:bCs/>
          <w:sz w:val="32"/>
          <w:szCs w:val="32"/>
        </w:rPr>
        <w:t>一般公共预算</w:t>
      </w:r>
      <w:r>
        <w:rPr>
          <w:rFonts w:hint="eastAsia" w:ascii="楷体_GB2312" w:hAnsi="楷体_GB2312" w:eastAsia="楷体_GB2312" w:cs="楷体_GB2312"/>
          <w:bCs/>
          <w:color w:val="000000"/>
          <w:sz w:val="32"/>
          <w:szCs w:val="32"/>
        </w:rPr>
        <w:t>“三公”经费预算情况说明。</w:t>
      </w:r>
    </w:p>
    <w:p>
      <w:pPr>
        <w:spacing w:line="520" w:lineRule="exact"/>
        <w:ind w:firstLine="640" w:firstLineChars="200"/>
        <w:rPr>
          <w:rFonts w:ascii="仿宋_GB2312" w:hAnsi="仿宋_GB2312" w:eastAsia="仿宋_GB2312"/>
          <w:sz w:val="32"/>
        </w:rPr>
      </w:pPr>
      <w:r>
        <w:rPr>
          <w:rFonts w:hint="eastAsia" w:ascii="仿宋_GB2312" w:hAnsi="仿宋_GB2312" w:eastAsia="仿宋_GB2312" w:cs="仿宋_GB2312"/>
          <w:color w:val="000000"/>
          <w:sz w:val="32"/>
          <w:szCs w:val="32"/>
        </w:rPr>
        <w:t>丽水市</w:t>
      </w:r>
      <w:r>
        <w:rPr>
          <w:rFonts w:hint="eastAsia" w:ascii="仿宋_GB2312" w:eastAsia="仿宋_GB2312"/>
          <w:color w:val="000000"/>
          <w:sz w:val="32"/>
          <w:szCs w:val="32"/>
        </w:rPr>
        <w:t>教育局</w:t>
      </w:r>
      <w:r>
        <w:rPr>
          <w:rFonts w:hint="eastAsia" w:ascii="仿宋_GB2312" w:hAnsi="仿宋_GB2312" w:eastAsia="仿宋_GB2312"/>
          <w:sz w:val="32"/>
        </w:rPr>
        <w:t>2023年“三公”经费预算数为</w:t>
      </w:r>
      <w:r>
        <w:rPr>
          <w:rFonts w:hint="eastAsia" w:ascii="仿宋_GB2312" w:eastAsia="仿宋_GB2312"/>
          <w:color w:val="000000"/>
          <w:sz w:val="32"/>
          <w:szCs w:val="32"/>
        </w:rPr>
        <w:t>4.97</w:t>
      </w:r>
      <w:r>
        <w:rPr>
          <w:rFonts w:hint="eastAsia" w:ascii="仿宋_GB2312" w:hAnsi="仿宋_GB2312" w:eastAsia="仿宋_GB2312"/>
          <w:sz w:val="32"/>
        </w:rPr>
        <w:t>万元，</w:t>
      </w:r>
      <w:r>
        <w:rPr>
          <w:rFonts w:hint="eastAsia" w:ascii="仿宋_GB2312" w:hAnsi="仿宋_GB2312" w:eastAsia="仿宋_GB2312"/>
          <w:sz w:val="32"/>
          <w:shd w:val="clear" w:color="auto" w:fill="FFFFFF"/>
          <w:lang w:bidi="ar"/>
        </w:rPr>
        <w:t>比</w:t>
      </w:r>
      <w:r>
        <w:rPr>
          <w:rFonts w:hint="eastAsia" w:ascii="仿宋_GB2312" w:hAnsi="仿宋_GB2312" w:eastAsia="仿宋_GB2312"/>
          <w:sz w:val="32"/>
          <w:highlight w:val="none"/>
          <w:shd w:val="clear" w:color="auto" w:fill="FFFFFF"/>
          <w:lang w:bidi="ar"/>
        </w:rPr>
        <w:t>上年</w:t>
      </w:r>
      <w:r>
        <w:rPr>
          <w:rFonts w:hint="eastAsia" w:ascii="仿宋_GB2312" w:hAnsi="仿宋_GB2312" w:eastAsia="仿宋_GB2312"/>
          <w:sz w:val="32"/>
          <w:highlight w:val="none"/>
          <w:shd w:val="clear" w:color="auto" w:fill="FFFFFF"/>
          <w:lang w:eastAsia="zh-CN" w:bidi="ar"/>
        </w:rPr>
        <w:t>预算</w:t>
      </w:r>
      <w:r>
        <w:rPr>
          <w:rFonts w:hint="eastAsia" w:ascii="仿宋_GB2312" w:hAnsi="仿宋_GB2312" w:eastAsia="仿宋_GB2312"/>
          <w:sz w:val="32"/>
          <w:highlight w:val="none"/>
          <w:shd w:val="clear" w:color="auto" w:fill="FFFFFF"/>
          <w:lang w:bidi="ar"/>
        </w:rPr>
        <w:t>减少0.01万元，减少0.2%</w:t>
      </w:r>
      <w:r>
        <w:rPr>
          <w:rFonts w:hint="eastAsia" w:ascii="仿宋_GB2312" w:hAnsi="仿宋_GB2312" w:eastAsia="仿宋_GB2312"/>
          <w:sz w:val="32"/>
          <w:highlight w:val="none"/>
        </w:rPr>
        <w:t>，</w:t>
      </w:r>
      <w:r>
        <w:rPr>
          <w:rFonts w:hint="eastAsia" w:ascii="仿宋_GB2312" w:hAnsi="仿宋_GB2312" w:eastAsia="仿宋_GB2312"/>
          <w:sz w:val="32"/>
        </w:rPr>
        <w:t>具体如下：</w:t>
      </w:r>
    </w:p>
    <w:p>
      <w:pPr>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因公出国（境）费用：2023年安排因公出国（境）费用预算0万元，与上年预算数持平。主要原因是：2023年因公出国（境）预算由财政统留管理，未编列到年初部门预算中。根据市外办安排的因公出国计划和实际工作需要，经批准同意因公出国（境）的，所需指标由财政按实追加部门年度“三公”经费预算额度。因公出国（境）费用主要用于机关及下属预算单位人员的公务出国（境）的国际旅费、国外城市间交通费、住宿费、伙食费、培训费、公杂费等支出。</w:t>
      </w:r>
    </w:p>
    <w:p>
      <w:pPr>
        <w:spacing w:line="560" w:lineRule="exact"/>
        <w:ind w:firstLine="640"/>
        <w:rPr>
          <w:rFonts w:ascii="仿宋_GB2312" w:eastAsia="仿宋_GB2312"/>
          <w:sz w:val="32"/>
          <w:szCs w:val="32"/>
        </w:rPr>
      </w:pPr>
      <w:r>
        <w:rPr>
          <w:rFonts w:hint="eastAsia" w:ascii="仿宋_GB2312" w:hAnsi="仿宋_GB2312" w:eastAsia="仿宋_GB2312" w:cs="仿宋_GB2312"/>
          <w:sz w:val="32"/>
          <w:szCs w:val="32"/>
        </w:rPr>
        <w:t>2.公务接待费：2023年安排公务接待费预算</w:t>
      </w:r>
      <w:r>
        <w:rPr>
          <w:rFonts w:hint="eastAsia" w:ascii="仿宋_GB2312" w:eastAsia="仿宋_GB2312"/>
          <w:color w:val="000000"/>
          <w:sz w:val="32"/>
          <w:szCs w:val="32"/>
        </w:rPr>
        <w:t>4.97</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rPr>
        <w:t>减少0.2%。主要用于接待</w:t>
      </w:r>
      <w:r>
        <w:rPr>
          <w:rFonts w:hint="eastAsia" w:ascii="仿宋_GB2312" w:eastAsia="仿宋_GB2312"/>
          <w:sz w:val="32"/>
          <w:szCs w:val="32"/>
        </w:rPr>
        <w:t>上级部门调研指导、各县基层单位和学校上门对接工作，国内及省内各地市兄弟单位交流、各类教学和科研业务活动和各类项目评审、评选及验收专家、教育结对帮扶等公务活动接待支出等支出。减少的原因是缩减费用。</w:t>
      </w:r>
    </w:p>
    <w:p>
      <w:pPr>
        <w:widowControl/>
        <w:shd w:val="clear" w:color="auto" w:fill="F1F2F3"/>
        <w:ind w:firstLine="640" w:firstLineChars="200"/>
        <w:jc w:val="left"/>
        <w:rPr>
          <w:rFonts w:ascii="仿宋_GB2312" w:eastAsia="仿宋_GB2312"/>
          <w:sz w:val="32"/>
          <w:szCs w:val="32"/>
        </w:rPr>
      </w:pPr>
      <w:r>
        <w:rPr>
          <w:rFonts w:hint="eastAsia" w:ascii="仿宋_GB2312" w:eastAsia="仿宋_GB2312"/>
          <w:sz w:val="32"/>
          <w:szCs w:val="32"/>
        </w:rPr>
        <w:t>3.公务用车购置及运行维护费：2023年安排公务用车购置及运行维护费预算0万元，与上年执行数持平。其中，公务用车购置支出0万元（含购置税等附加费用），主要用于经批准购置的0辆公务用车，与上年执行数持平；公务用车运行维护费支出0万元，主要用于公务用车燃料费、维修费、过桥过路费、保险费、安全奖励费用等支出，与上年执行数持平。</w:t>
      </w:r>
    </w:p>
    <w:p>
      <w:pPr>
        <w:pStyle w:val="2"/>
        <w:ind w:firstLine="640"/>
        <w:rPr>
          <w:rFonts w:hint="default"/>
        </w:rPr>
      </w:pPr>
    </w:p>
    <w:p>
      <w:pPr>
        <w:spacing w:line="520" w:lineRule="exact"/>
        <w:ind w:firstLine="627" w:firstLineChars="196"/>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spacing w:line="520" w:lineRule="exact"/>
        <w:ind w:firstLine="642"/>
        <w:rPr>
          <w:rFonts w:ascii="仿宋_GB2312" w:hAnsi="仿宋_GB2312" w:eastAsia="仿宋_GB2312" w:cs="仿宋_GB2312"/>
          <w:b/>
          <w:sz w:val="32"/>
          <w:szCs w:val="32"/>
        </w:rPr>
      </w:pPr>
      <w:r>
        <w:rPr>
          <w:rFonts w:hint="eastAsia" w:ascii="仿宋_GB2312" w:hAnsi="仿宋_GB2312" w:eastAsia="仿宋_GB2312" w:cs="仿宋_GB2312"/>
          <w:b/>
          <w:color w:val="000000"/>
          <w:sz w:val="32"/>
          <w:szCs w:val="32"/>
        </w:rPr>
        <w:t>1.机关运行经费</w:t>
      </w:r>
    </w:p>
    <w:p>
      <w:pPr>
        <w:pStyle w:val="21"/>
        <w:spacing w:line="520" w:lineRule="exact"/>
        <w:ind w:firstLine="640" w:firstLineChars="200"/>
        <w:rPr>
          <w:rFonts w:ascii="仿宋_GB2312" w:eastAsia="仿宋_GB2312"/>
          <w:sz w:val="32"/>
          <w:szCs w:val="32"/>
        </w:rPr>
      </w:pPr>
      <w:r>
        <w:rPr>
          <w:rFonts w:hint="eastAsia" w:ascii="仿宋_GB2312" w:eastAsia="仿宋_GB2312"/>
          <w:sz w:val="32"/>
          <w:szCs w:val="32"/>
        </w:rPr>
        <w:t>2023年丽水市教育局</w:t>
      </w:r>
      <w:r>
        <w:rPr>
          <w:rFonts w:hint="eastAsia" w:ascii="仿宋_GB2312" w:eastAsia="仿宋_GB2312"/>
          <w:color w:val="000000"/>
          <w:sz w:val="32"/>
          <w:szCs w:val="32"/>
        </w:rPr>
        <w:t>本级机关运行经费财政拨款预算412.73万元，</w:t>
      </w:r>
      <w:r>
        <w:rPr>
          <w:rFonts w:hint="eastAsia" w:ascii="仿宋_GB2312" w:eastAsia="仿宋_GB2312"/>
          <w:color w:val="000000"/>
          <w:sz w:val="32"/>
          <w:szCs w:val="32"/>
          <w:highlight w:val="none"/>
        </w:rPr>
        <w:t>比上年预算减少47.02</w:t>
      </w:r>
      <w:r>
        <w:rPr>
          <w:rFonts w:hint="eastAsia" w:ascii="仿宋_GB2312" w:eastAsia="仿宋_GB2312"/>
          <w:sz w:val="32"/>
          <w:szCs w:val="32"/>
          <w:highlight w:val="none"/>
        </w:rPr>
        <w:t>万元</w:t>
      </w:r>
      <w:r>
        <w:rPr>
          <w:rFonts w:hint="eastAsia" w:ascii="仿宋_GB2312" w:hAnsi="仿宋_GB2312" w:eastAsia="仿宋_GB2312"/>
          <w:kern w:val="2"/>
          <w:sz w:val="32"/>
          <w:szCs w:val="20"/>
          <w:highlight w:val="none"/>
          <w:lang w:bidi="ar"/>
        </w:rPr>
        <w:t>，下降10.2%，</w:t>
      </w:r>
      <w:r>
        <w:rPr>
          <w:rFonts w:hint="eastAsia" w:ascii="仿宋_GB2312" w:hAnsi="仿宋_GB2312" w:eastAsia="仿宋_GB2312"/>
          <w:kern w:val="2"/>
          <w:sz w:val="32"/>
          <w:szCs w:val="20"/>
          <w:lang w:bidi="ar"/>
        </w:rPr>
        <w:t>主要是</w:t>
      </w:r>
      <w:r>
        <w:rPr>
          <w:rFonts w:hint="eastAsia" w:ascii="仿宋_GB2312" w:eastAsia="仿宋_GB2312"/>
          <w:color w:val="000000"/>
          <w:sz w:val="32"/>
          <w:szCs w:val="32"/>
          <w:lang w:bidi="ar"/>
        </w:rPr>
        <w:t>市教育局机关压减公用经费支出</w:t>
      </w:r>
      <w:r>
        <w:rPr>
          <w:rFonts w:hint="eastAsia" w:ascii="仿宋_GB2312" w:eastAsia="仿宋_GB2312"/>
          <w:color w:val="000000"/>
          <w:sz w:val="32"/>
          <w:szCs w:val="32"/>
        </w:rPr>
        <w:t>。</w:t>
      </w:r>
    </w:p>
    <w:p>
      <w:pPr>
        <w:pStyle w:val="21"/>
        <w:numPr>
          <w:ilvl w:val="0"/>
          <w:numId w:val="3"/>
        </w:numPr>
        <w:spacing w:line="520" w:lineRule="exact"/>
        <w:ind w:firstLine="600"/>
        <w:rPr>
          <w:rFonts w:ascii="仿宋_GB2312" w:eastAsia="仿宋_GB2312"/>
          <w:b/>
          <w:bCs/>
          <w:sz w:val="32"/>
          <w:szCs w:val="32"/>
        </w:rPr>
      </w:pPr>
      <w:r>
        <w:rPr>
          <w:rFonts w:hint="eastAsia" w:ascii="仿宋_GB2312" w:eastAsia="仿宋_GB2312"/>
          <w:b/>
          <w:bCs/>
          <w:sz w:val="32"/>
          <w:szCs w:val="32"/>
        </w:rPr>
        <w:t>政府采购情况</w:t>
      </w:r>
    </w:p>
    <w:p>
      <w:pPr>
        <w:pStyle w:val="21"/>
        <w:spacing w:line="520" w:lineRule="exact"/>
        <w:ind w:firstLine="640" w:firstLineChars="200"/>
        <w:rPr>
          <w:rFonts w:ascii="仿宋_GB2312" w:eastAsia="仿宋_GB2312"/>
          <w:sz w:val="32"/>
          <w:szCs w:val="32"/>
        </w:rPr>
      </w:pPr>
      <w:r>
        <w:rPr>
          <w:rFonts w:hint="eastAsia" w:ascii="仿宋_GB2312" w:eastAsia="仿宋_GB2312"/>
          <w:sz w:val="32"/>
          <w:szCs w:val="32"/>
        </w:rPr>
        <w:t>2023年丽水市教育局</w:t>
      </w:r>
      <w:r>
        <w:rPr>
          <w:rFonts w:hint="eastAsia" w:ascii="仿宋_GB2312" w:eastAsia="仿宋_GB2312"/>
          <w:color w:val="000000"/>
          <w:sz w:val="32"/>
          <w:szCs w:val="32"/>
        </w:rPr>
        <w:t>各单位政府采购预算总额8万元，其中：政府采购货物预算0万元、政府采购工程预算0万元、政府采购服务预算8万元。</w:t>
      </w:r>
    </w:p>
    <w:p>
      <w:pPr>
        <w:pStyle w:val="21"/>
        <w:spacing w:line="520" w:lineRule="exact"/>
        <w:ind w:firstLine="642"/>
        <w:rPr>
          <w:rFonts w:ascii="仿宋_GB2312" w:eastAsia="仿宋_GB2312"/>
          <w:sz w:val="32"/>
          <w:szCs w:val="32"/>
        </w:rPr>
      </w:pPr>
      <w:r>
        <w:rPr>
          <w:rFonts w:hint="eastAsia" w:ascii="仿宋_GB2312" w:eastAsia="仿宋_GB2312"/>
          <w:b/>
          <w:bCs/>
          <w:sz w:val="32"/>
          <w:szCs w:val="32"/>
        </w:rPr>
        <w:t>3.国有资产占有使用情况。</w:t>
      </w:r>
    </w:p>
    <w:p>
      <w:pPr>
        <w:pStyle w:val="5"/>
        <w:widowControl/>
        <w:spacing w:line="450" w:lineRule="atLeast"/>
        <w:ind w:firstLine="640" w:firstLineChars="200"/>
        <w:jc w:val="left"/>
        <w:rPr>
          <w:rFonts w:ascii="仿宋_GB2312" w:eastAsia="仿宋_GB2312"/>
          <w:kern w:val="0"/>
          <w:sz w:val="32"/>
          <w:szCs w:val="32"/>
        </w:rPr>
      </w:pPr>
      <w:r>
        <w:rPr>
          <w:rFonts w:hint="eastAsia" w:ascii="仿宋_GB2312" w:eastAsia="仿宋_GB2312"/>
          <w:kern w:val="0"/>
          <w:sz w:val="32"/>
          <w:szCs w:val="32"/>
        </w:rPr>
        <w:t>截至2022年12月31日，丽水市教育局共有车辆0辆。单位价值50万元以上通用设备0台（套），单位价值100万元以上专用设备0台（套）。</w:t>
      </w:r>
    </w:p>
    <w:p>
      <w:pPr>
        <w:pStyle w:val="5"/>
        <w:widowControl/>
        <w:spacing w:line="450" w:lineRule="atLeast"/>
        <w:ind w:firstLine="640" w:firstLineChars="200"/>
        <w:jc w:val="left"/>
        <w:rPr>
          <w:rFonts w:ascii="仿宋_GB2312" w:eastAsia="仿宋_GB2312"/>
          <w:kern w:val="0"/>
          <w:sz w:val="32"/>
          <w:szCs w:val="32"/>
        </w:rPr>
      </w:pPr>
      <w:r>
        <w:rPr>
          <w:rFonts w:hint="eastAsia" w:ascii="仿宋_GB2312" w:eastAsia="仿宋_GB2312"/>
          <w:kern w:val="0"/>
          <w:sz w:val="32"/>
          <w:szCs w:val="32"/>
        </w:rPr>
        <w:t>丽水市教育局2023年单位预算未安排购置车辆、单位价值50万元以上通用设备及单位价值100万元以上专用设备。</w:t>
      </w:r>
    </w:p>
    <w:p>
      <w:pPr>
        <w:pStyle w:val="21"/>
        <w:spacing w:line="520" w:lineRule="exact"/>
        <w:rPr>
          <w:rFonts w:ascii="仿宋_GB2312" w:eastAsia="仿宋_GB2312"/>
          <w:b/>
          <w:bCs/>
          <w:sz w:val="32"/>
          <w:szCs w:val="32"/>
        </w:rPr>
      </w:pPr>
      <w:r>
        <w:rPr>
          <w:rFonts w:hint="eastAsia" w:ascii="仿宋_GB2312" w:eastAsia="仿宋_GB2312"/>
          <w:b/>
          <w:bCs/>
          <w:sz w:val="32"/>
          <w:szCs w:val="32"/>
        </w:rPr>
        <w:t xml:space="preserve">    4.预算绩效情况说明。</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eastAsia="仿宋_GB2312"/>
          <w:kern w:val="0"/>
          <w:sz w:val="32"/>
          <w:szCs w:val="32"/>
        </w:rPr>
        <w:t>丽水市教育局</w:t>
      </w:r>
      <w:r>
        <w:rPr>
          <w:rFonts w:hint="eastAsia" w:ascii="仿宋_GB2312" w:hAnsi="仿宋_GB2312" w:eastAsia="仿宋_GB2312" w:cs="仿宋_GB2312"/>
          <w:sz w:val="32"/>
          <w:szCs w:val="32"/>
        </w:rPr>
        <w:t>其他运转类项目和特定目标类项目均实行绩效目标管理，涉及一般公共预算当年拨款29056.86万元，一级项目3个。</w:t>
      </w:r>
    </w:p>
    <w:p>
      <w:pPr>
        <w:pStyle w:val="21"/>
        <w:spacing w:line="520" w:lineRule="exact"/>
        <w:ind w:firstLine="640" w:firstLineChars="200"/>
        <w:rPr>
          <w:rFonts w:ascii="黑体" w:hAnsi="黑体" w:eastAsia="黑体" w:cs="黑体"/>
          <w:bCs/>
          <w:kern w:val="2"/>
          <w:sz w:val="32"/>
          <w:szCs w:val="32"/>
        </w:rPr>
      </w:pPr>
      <w:r>
        <w:rPr>
          <w:rFonts w:hint="eastAsia" w:ascii="黑体" w:hAnsi="黑体" w:eastAsia="黑体" w:cs="黑体"/>
          <w:bCs/>
          <w:kern w:val="2"/>
          <w:sz w:val="32"/>
          <w:szCs w:val="32"/>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3.事业收入：事业单位开展专业业务活动及辅助活动所取得的收入，不含专户资金收入。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4.事业单位经营收入：事业单位在专业业务活动及辅助活动之外开展非独立核算经营活动取得的收入。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5.其他收入：预算单位在“一般公共预算”“政府性基金”“专户资金”“事业收入”“事业单位经营收入”等之外取得的各项收入（含上级补助收入和附属单位缴款等收入）。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用事业基金弥补收支差额：指事业单位在预计用当年的“财政拨款收入”“专户资金”“事业收入”“事业单位经营收入”“其他收入”“上年结转”等不足以安排当年支出的情况下，使用以前年度积累的事业基金弥补本年收支缺口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7.上年结转：指以前年度尚未完成、结转到本年仍按原规定用途继续使用的资金。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10.经营支出：指事业单位在专业业务活动及其辅助活动之外开展非独立核算经营活动发生的支出。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12.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.教育支出（类）教育管理事务（款）行政运行（项）：反映行政单位（包括实行公务员管理的事业单位）的基本支出。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.教育支出（类）教育管理事务（款）其他教育管理事务支出（项）：反映其他用于教育管理事务方面的支出。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.教育支出（类）普通教育（款）</w:t>
      </w:r>
      <w:r>
        <w:rPr>
          <w:rFonts w:hint="eastAsia" w:ascii="仿宋_GB2312" w:eastAsia="仿宋_GB2312"/>
          <w:color w:val="000000"/>
          <w:sz w:val="32"/>
          <w:szCs w:val="32"/>
          <w:lang w:eastAsia="zh-CN"/>
        </w:rPr>
        <w:t>学前</w:t>
      </w:r>
      <w:r>
        <w:rPr>
          <w:rFonts w:hint="eastAsia" w:ascii="仿宋_GB2312" w:eastAsia="仿宋_GB2312"/>
          <w:color w:val="000000"/>
          <w:sz w:val="32"/>
          <w:szCs w:val="32"/>
        </w:rPr>
        <w:t>教育（项）：反映各部门举办的</w:t>
      </w:r>
      <w:r>
        <w:rPr>
          <w:rFonts w:hint="eastAsia" w:ascii="仿宋_GB2312" w:eastAsia="仿宋_GB2312"/>
          <w:color w:val="000000"/>
          <w:sz w:val="32"/>
          <w:szCs w:val="32"/>
          <w:lang w:eastAsia="zh-CN"/>
        </w:rPr>
        <w:t>学前</w:t>
      </w:r>
      <w:r>
        <w:rPr>
          <w:rFonts w:hint="eastAsia" w:ascii="仿宋_GB2312" w:eastAsia="仿宋_GB2312"/>
          <w:color w:val="000000"/>
          <w:sz w:val="32"/>
          <w:szCs w:val="32"/>
        </w:rPr>
        <w:t>教育支出。政府各部门对社会组织等举办的</w:t>
      </w:r>
      <w:r>
        <w:rPr>
          <w:rFonts w:hint="eastAsia" w:ascii="仿宋_GB2312" w:eastAsia="仿宋_GB2312"/>
          <w:color w:val="000000"/>
          <w:sz w:val="32"/>
          <w:szCs w:val="32"/>
          <w:lang w:eastAsia="zh-CN"/>
        </w:rPr>
        <w:t>幼儿园</w:t>
      </w:r>
      <w:r>
        <w:rPr>
          <w:rFonts w:hint="eastAsia" w:ascii="仿宋_GB2312" w:eastAsia="仿宋_GB2312"/>
          <w:color w:val="000000"/>
          <w:sz w:val="32"/>
          <w:szCs w:val="32"/>
        </w:rPr>
        <w:t xml:space="preserve">的资助，如各类捐赠、补贴等，也在本科目中反映。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16.教育支出（类）普通教育（款）小学教育（项）：反映各部门举办的小学教育支出。政府各部门对社会组织等举办的小学的资助，如各类捐赠、补贴等，也在本科目中反映。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17.教育支出（类）普通教育（款）</w:t>
      </w:r>
      <w:r>
        <w:rPr>
          <w:rFonts w:hint="eastAsia" w:ascii="仿宋_GB2312" w:eastAsia="仿宋_GB2312"/>
          <w:color w:val="000000"/>
          <w:sz w:val="32"/>
          <w:szCs w:val="32"/>
          <w:lang w:eastAsia="zh-CN"/>
        </w:rPr>
        <w:t>高</w:t>
      </w:r>
      <w:r>
        <w:rPr>
          <w:rFonts w:hint="eastAsia" w:ascii="仿宋_GB2312" w:eastAsia="仿宋_GB2312"/>
          <w:color w:val="000000"/>
          <w:sz w:val="32"/>
          <w:szCs w:val="32"/>
        </w:rPr>
        <w:t>中教育（项）：反映各部门举办的初</w:t>
      </w:r>
      <w:r>
        <w:rPr>
          <w:rFonts w:hint="eastAsia" w:ascii="仿宋_GB2312" w:eastAsia="仿宋_GB2312"/>
          <w:color w:val="000000"/>
          <w:sz w:val="32"/>
          <w:szCs w:val="32"/>
          <w:lang w:eastAsia="zh-CN"/>
        </w:rPr>
        <w:t>普通高</w:t>
      </w:r>
      <w:r>
        <w:rPr>
          <w:rFonts w:hint="eastAsia" w:ascii="仿宋_GB2312" w:eastAsia="仿宋_GB2312"/>
          <w:color w:val="000000"/>
          <w:sz w:val="32"/>
          <w:szCs w:val="32"/>
        </w:rPr>
        <w:t>中教育支出。政府各部门对社会组织等举办的</w:t>
      </w:r>
      <w:r>
        <w:rPr>
          <w:rFonts w:hint="eastAsia" w:ascii="仿宋_GB2312" w:eastAsia="仿宋_GB2312"/>
          <w:color w:val="000000"/>
          <w:sz w:val="32"/>
          <w:szCs w:val="32"/>
          <w:lang w:eastAsia="zh-CN"/>
        </w:rPr>
        <w:t>普通高中</w:t>
      </w:r>
      <w:r>
        <w:rPr>
          <w:rFonts w:hint="eastAsia" w:ascii="仿宋_GB2312" w:eastAsia="仿宋_GB2312"/>
          <w:color w:val="000000"/>
          <w:sz w:val="32"/>
          <w:szCs w:val="32"/>
        </w:rPr>
        <w:t xml:space="preserve">的资助，如各类捐赠、补贴等，也在本科目中反映。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18.教育支出（类）普通教育（款）其他普通教育支出（项）：反映除学前、小学、初中、高中等项目以外其他用于普通教育方面的支出。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19.教育支出（类）职业教育（款）中等职业教育（项）：反映各部门（不含人力资源社会保障部门）举办的中等职业学校支出。政府各部门对社会组织等举办的中等职业学校的资助，如各类捐赠、补贴等，也在本科目中反映。  </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20.教育支出（类）其他教育支出（款）其他教育支出（项）：反映除一般教育项目以外其他用于教育方面的支出。</w:t>
      </w:r>
    </w:p>
    <w:p>
      <w:pPr>
        <w:pStyle w:val="2"/>
        <w:rPr>
          <w:rFonts w:hint="default"/>
          <w:sz w:val="32"/>
          <w:szCs w:val="32"/>
        </w:rPr>
      </w:pPr>
      <w:r>
        <w:rPr>
          <w:rFonts w:ascii="宋体" w:hAnsi="宋体" w:cs="Courier New"/>
          <w:sz w:val="32"/>
          <w:szCs w:val="32"/>
        </w:rPr>
        <w:t xml:space="preserve">    </w:t>
      </w:r>
      <w:r>
        <w:rPr>
          <w:sz w:val="32"/>
          <w:szCs w:val="32"/>
        </w:rPr>
        <w:t>21.社会保障和就业支出（类）行政事业单位养老支出（款）行政单位离退休（项）：反映行政单位（包括实行公务员管理的事业单位）开支的离退支出。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22.社会保障和就业支出（类）行政事业单位养老支出（款）机关事业单位基本养老保险缴费支出（项）：反映机关事业单位实施养老保险制度由单位缴纳的基本养老保险支出。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23.社会保障和就业支出（类）行政事业单位养老支出（款）机关事业单位职业年金缴费支出（项）：反映机关事业单位实施养老保险制度由单位实际缴纳的职业年金支出。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24.社会保障和就业支出（类）其他社会保障和就业支出（款）其他社会保障和就业支出（项）：反映一般项目以外其他用于社会保障和就业方面的支出。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25.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26.城乡社区支出（类）国有土地使用权出让收入安排的支出（款）城市建设支出（项）：反映土地出让收入用于完善国有土地使用功能的配套设施建设和城市基础设施建设支出。</w:t>
      </w:r>
    </w:p>
    <w:sectPr>
      <w:footerReference r:id="rId3" w:type="default"/>
      <w:pgSz w:w="11906" w:h="16838"/>
      <w:pgMar w:top="1440" w:right="1800" w:bottom="1440" w:left="1800" w:header="851" w:footer="992" w:gutter="0"/>
      <w:pgNumType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A1D6"/>
    <w:multiLevelType w:val="singleLevel"/>
    <w:tmpl w:val="94E2A1D6"/>
    <w:lvl w:ilvl="0" w:tentative="0">
      <w:start w:val="8"/>
      <w:numFmt w:val="chineseCounting"/>
      <w:suff w:val="nothing"/>
      <w:lvlText w:val="（%1）"/>
      <w:lvlJc w:val="left"/>
      <w:rPr>
        <w:rFonts w:hint="eastAsia"/>
      </w:rPr>
    </w:lvl>
  </w:abstractNum>
  <w:abstractNum w:abstractNumId="1">
    <w:nsid w:val="5893F62F"/>
    <w:multiLevelType w:val="singleLevel"/>
    <w:tmpl w:val="5893F62F"/>
    <w:lvl w:ilvl="0" w:tentative="0">
      <w:start w:val="2"/>
      <w:numFmt w:val="decimal"/>
      <w:suff w:val="nothing"/>
      <w:lvlText w:val="%1."/>
      <w:lvlJc w:val="left"/>
    </w:lvl>
  </w:abstractNum>
  <w:abstractNum w:abstractNumId="2">
    <w:nsid w:val="5895A99C"/>
    <w:multiLevelType w:val="singleLevel"/>
    <w:tmpl w:val="5895A99C"/>
    <w:lvl w:ilvl="0" w:tentative="0">
      <w:start w:val="5"/>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0B785C"/>
    <w:rsid w:val="000B785C"/>
    <w:rsid w:val="005B5C9E"/>
    <w:rsid w:val="007805E8"/>
    <w:rsid w:val="00920FA3"/>
    <w:rsid w:val="00CC1203"/>
    <w:rsid w:val="00FE359D"/>
    <w:rsid w:val="00FE7B14"/>
    <w:rsid w:val="01232FF4"/>
    <w:rsid w:val="013561FE"/>
    <w:rsid w:val="036705B6"/>
    <w:rsid w:val="03C607BA"/>
    <w:rsid w:val="0432483D"/>
    <w:rsid w:val="04E922A8"/>
    <w:rsid w:val="07471C17"/>
    <w:rsid w:val="083C5799"/>
    <w:rsid w:val="08573C6C"/>
    <w:rsid w:val="09B231D1"/>
    <w:rsid w:val="0AAC08B0"/>
    <w:rsid w:val="0C014F6D"/>
    <w:rsid w:val="0C2365BB"/>
    <w:rsid w:val="0D660A6E"/>
    <w:rsid w:val="0E1F44A0"/>
    <w:rsid w:val="10901232"/>
    <w:rsid w:val="10E93A64"/>
    <w:rsid w:val="11641E21"/>
    <w:rsid w:val="125B4450"/>
    <w:rsid w:val="128C3475"/>
    <w:rsid w:val="13640638"/>
    <w:rsid w:val="13A5606D"/>
    <w:rsid w:val="14083DA3"/>
    <w:rsid w:val="15443B42"/>
    <w:rsid w:val="16EF5067"/>
    <w:rsid w:val="175B200D"/>
    <w:rsid w:val="19490466"/>
    <w:rsid w:val="197E449B"/>
    <w:rsid w:val="1A2E458E"/>
    <w:rsid w:val="1A556B40"/>
    <w:rsid w:val="1A7A0ED0"/>
    <w:rsid w:val="1B3838C3"/>
    <w:rsid w:val="1BAB2FAB"/>
    <w:rsid w:val="1BC70B63"/>
    <w:rsid w:val="1C5A0C79"/>
    <w:rsid w:val="1C9212E4"/>
    <w:rsid w:val="1ED74D17"/>
    <w:rsid w:val="1F05513C"/>
    <w:rsid w:val="204918DF"/>
    <w:rsid w:val="21006F7D"/>
    <w:rsid w:val="21A8121E"/>
    <w:rsid w:val="21C23719"/>
    <w:rsid w:val="21E8637C"/>
    <w:rsid w:val="22127449"/>
    <w:rsid w:val="23541A1E"/>
    <w:rsid w:val="236C3515"/>
    <w:rsid w:val="245B3CCB"/>
    <w:rsid w:val="250E492F"/>
    <w:rsid w:val="252D2756"/>
    <w:rsid w:val="255258CA"/>
    <w:rsid w:val="2572597C"/>
    <w:rsid w:val="26AF4881"/>
    <w:rsid w:val="27AF99D0"/>
    <w:rsid w:val="27D57033"/>
    <w:rsid w:val="28F62719"/>
    <w:rsid w:val="2AAA42C2"/>
    <w:rsid w:val="2AF60D1A"/>
    <w:rsid w:val="2B7E31C0"/>
    <w:rsid w:val="2C7B384C"/>
    <w:rsid w:val="2D34472A"/>
    <w:rsid w:val="2D5E4C13"/>
    <w:rsid w:val="2E055568"/>
    <w:rsid w:val="2E30603B"/>
    <w:rsid w:val="2F7D11AC"/>
    <w:rsid w:val="30B00F05"/>
    <w:rsid w:val="31A853D8"/>
    <w:rsid w:val="323D140F"/>
    <w:rsid w:val="3281183A"/>
    <w:rsid w:val="32FF21F7"/>
    <w:rsid w:val="33AA31F0"/>
    <w:rsid w:val="34087AF6"/>
    <w:rsid w:val="343606DF"/>
    <w:rsid w:val="35397A21"/>
    <w:rsid w:val="353E1DF4"/>
    <w:rsid w:val="35B84E29"/>
    <w:rsid w:val="35BF2C1D"/>
    <w:rsid w:val="35D0207C"/>
    <w:rsid w:val="3787034C"/>
    <w:rsid w:val="37CE3860"/>
    <w:rsid w:val="38373947"/>
    <w:rsid w:val="39C37628"/>
    <w:rsid w:val="39C7B2DC"/>
    <w:rsid w:val="3B531D89"/>
    <w:rsid w:val="3B73ECAC"/>
    <w:rsid w:val="3C36289D"/>
    <w:rsid w:val="3D721E66"/>
    <w:rsid w:val="3DAB25CE"/>
    <w:rsid w:val="3DF04E78"/>
    <w:rsid w:val="3E0111A0"/>
    <w:rsid w:val="3E054CA0"/>
    <w:rsid w:val="3E663D4F"/>
    <w:rsid w:val="3F9A28B9"/>
    <w:rsid w:val="3FF778EB"/>
    <w:rsid w:val="4005392D"/>
    <w:rsid w:val="406731BC"/>
    <w:rsid w:val="41260B4E"/>
    <w:rsid w:val="420360CF"/>
    <w:rsid w:val="4413460B"/>
    <w:rsid w:val="45F82141"/>
    <w:rsid w:val="462B65EA"/>
    <w:rsid w:val="46BD5148"/>
    <w:rsid w:val="46DE1D01"/>
    <w:rsid w:val="479F1816"/>
    <w:rsid w:val="49475862"/>
    <w:rsid w:val="49890117"/>
    <w:rsid w:val="4A341449"/>
    <w:rsid w:val="4A827C13"/>
    <w:rsid w:val="4AFA32A4"/>
    <w:rsid w:val="4C1C65B8"/>
    <w:rsid w:val="4C1D25A8"/>
    <w:rsid w:val="4C527DE9"/>
    <w:rsid w:val="4CFF2AF7"/>
    <w:rsid w:val="4D33408C"/>
    <w:rsid w:val="4DCA5013"/>
    <w:rsid w:val="4E355382"/>
    <w:rsid w:val="4EB5402A"/>
    <w:rsid w:val="4EC31151"/>
    <w:rsid w:val="50220CCB"/>
    <w:rsid w:val="50A70B33"/>
    <w:rsid w:val="53524146"/>
    <w:rsid w:val="53750956"/>
    <w:rsid w:val="53C329BD"/>
    <w:rsid w:val="543D5050"/>
    <w:rsid w:val="54C31518"/>
    <w:rsid w:val="56432923"/>
    <w:rsid w:val="57277B1D"/>
    <w:rsid w:val="58424D02"/>
    <w:rsid w:val="58491AC9"/>
    <w:rsid w:val="586D67F6"/>
    <w:rsid w:val="5886765E"/>
    <w:rsid w:val="588F3176"/>
    <w:rsid w:val="59D92E7B"/>
    <w:rsid w:val="5AA10085"/>
    <w:rsid w:val="5BE528F3"/>
    <w:rsid w:val="5BF9A05E"/>
    <w:rsid w:val="5CA47F6C"/>
    <w:rsid w:val="5CD54D36"/>
    <w:rsid w:val="5CDF2F1A"/>
    <w:rsid w:val="5DAA2EF8"/>
    <w:rsid w:val="612B5DEE"/>
    <w:rsid w:val="61985C66"/>
    <w:rsid w:val="6377272F"/>
    <w:rsid w:val="63F267B1"/>
    <w:rsid w:val="643B6422"/>
    <w:rsid w:val="64881F6E"/>
    <w:rsid w:val="64B62A8B"/>
    <w:rsid w:val="66A36EC2"/>
    <w:rsid w:val="68704FAE"/>
    <w:rsid w:val="690D105E"/>
    <w:rsid w:val="6A574057"/>
    <w:rsid w:val="6ABC2276"/>
    <w:rsid w:val="6AC2192E"/>
    <w:rsid w:val="6B21471E"/>
    <w:rsid w:val="6DEE5313"/>
    <w:rsid w:val="6E76488C"/>
    <w:rsid w:val="6EF90750"/>
    <w:rsid w:val="72CF280C"/>
    <w:rsid w:val="737B5200"/>
    <w:rsid w:val="744F4D1A"/>
    <w:rsid w:val="74FB2105"/>
    <w:rsid w:val="753064B9"/>
    <w:rsid w:val="757124F9"/>
    <w:rsid w:val="759C24D2"/>
    <w:rsid w:val="76442312"/>
    <w:rsid w:val="76DFF3BC"/>
    <w:rsid w:val="77FF0865"/>
    <w:rsid w:val="77FFC04D"/>
    <w:rsid w:val="784C310B"/>
    <w:rsid w:val="79605BDD"/>
    <w:rsid w:val="79AD5421"/>
    <w:rsid w:val="7A24433A"/>
    <w:rsid w:val="7ADF26B7"/>
    <w:rsid w:val="7B66064C"/>
    <w:rsid w:val="7BAF2D93"/>
    <w:rsid w:val="7C31309B"/>
    <w:rsid w:val="7C616C29"/>
    <w:rsid w:val="7CFB18E8"/>
    <w:rsid w:val="7DBFC2EB"/>
    <w:rsid w:val="7EE93F79"/>
    <w:rsid w:val="7EFFAD84"/>
    <w:rsid w:val="7FE3062C"/>
    <w:rsid w:val="7FE533F5"/>
    <w:rsid w:val="8FCBCDA8"/>
    <w:rsid w:val="A4EFBF90"/>
    <w:rsid w:val="AFFD9F88"/>
    <w:rsid w:val="BA7D2319"/>
    <w:rsid w:val="BB7E2F4C"/>
    <w:rsid w:val="BBBFE1BE"/>
    <w:rsid w:val="BBFB80D7"/>
    <w:rsid w:val="C7EC0F46"/>
    <w:rsid w:val="DEFFEF20"/>
    <w:rsid w:val="DFAFC5B6"/>
    <w:rsid w:val="E66AD4B1"/>
    <w:rsid w:val="E7FF0B81"/>
    <w:rsid w:val="EBFCAC2C"/>
    <w:rsid w:val="EFFE56DC"/>
    <w:rsid w:val="F2F9A87E"/>
    <w:rsid w:val="FC35808B"/>
    <w:rsid w:val="FEF8F2E0"/>
    <w:rsid w:val="FF7333E8"/>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rPr>
      <w:sz w:val="24"/>
    </w:rPr>
  </w:style>
  <w:style w:type="character" w:styleId="8">
    <w:name w:val="Strong"/>
    <w:basedOn w:val="7"/>
    <w:qFormat/>
    <w:uiPriority w:val="0"/>
    <w:rPr>
      <w:b/>
      <w:bCs/>
    </w:rPr>
  </w:style>
  <w:style w:type="character" w:styleId="9">
    <w:name w:val="page number"/>
    <w:basedOn w:val="7"/>
    <w:qFormat/>
    <w:uiPriority w:val="0"/>
  </w:style>
  <w:style w:type="character" w:styleId="10">
    <w:name w:val="FollowedHyperlink"/>
    <w:basedOn w:val="7"/>
    <w:qFormat/>
    <w:uiPriority w:val="0"/>
    <w:rPr>
      <w:color w:val="800080"/>
      <w:u w:val="none"/>
    </w:rPr>
  </w:style>
  <w:style w:type="character" w:styleId="11">
    <w:name w:val="Emphasis"/>
    <w:basedOn w:val="7"/>
    <w:qFormat/>
    <w:uiPriority w:val="0"/>
    <w:rPr>
      <w:b/>
      <w:bCs/>
    </w:rPr>
  </w:style>
  <w:style w:type="character" w:styleId="12">
    <w:name w:val="HTML Definition"/>
    <w:basedOn w:val="7"/>
    <w:qFormat/>
    <w:uiPriority w:val="0"/>
  </w:style>
  <w:style w:type="character" w:styleId="13">
    <w:name w:val="HTML Variable"/>
    <w:basedOn w:val="7"/>
    <w:qFormat/>
    <w:uiPriority w:val="0"/>
  </w:style>
  <w:style w:type="character" w:styleId="14">
    <w:name w:val="Hyperlink"/>
    <w:basedOn w:val="7"/>
    <w:qFormat/>
    <w:uiPriority w:val="0"/>
    <w:rPr>
      <w:color w:val="0000FF"/>
      <w:u w:val="none"/>
    </w:rPr>
  </w:style>
  <w:style w:type="character" w:styleId="15">
    <w:name w:val="HTML Code"/>
    <w:basedOn w:val="7"/>
    <w:qFormat/>
    <w:uiPriority w:val="0"/>
    <w:rPr>
      <w:rFonts w:hint="default" w:ascii="Courier New" w:hAnsi="Courier New" w:eastAsia="Courier New" w:cs="Courier New"/>
      <w:sz w:val="20"/>
    </w:rPr>
  </w:style>
  <w:style w:type="character" w:styleId="16">
    <w:name w:val="HTML Cite"/>
    <w:basedOn w:val="7"/>
    <w:qFormat/>
    <w:uiPriority w:val="0"/>
  </w:style>
  <w:style w:type="character" w:styleId="17">
    <w:name w:val="HTML Keyboard"/>
    <w:basedOn w:val="7"/>
    <w:uiPriority w:val="0"/>
    <w:rPr>
      <w:rFonts w:hint="default" w:ascii="Courier New" w:hAnsi="Courier New" w:eastAsia="Courier New" w:cs="Courier New"/>
      <w:sz w:val="20"/>
    </w:rPr>
  </w:style>
  <w:style w:type="character" w:styleId="18">
    <w:name w:val="HTML Sample"/>
    <w:basedOn w:val="7"/>
    <w:uiPriority w:val="0"/>
    <w:rPr>
      <w:rFonts w:ascii="Courier New" w:hAnsi="Courier New" w:eastAsia="Courier New" w:cs="Courier New"/>
      <w:sz w:val="36"/>
      <w:szCs w:val="36"/>
    </w:rPr>
  </w:style>
  <w:style w:type="paragraph" w:customStyle="1" w:styleId="19">
    <w:name w:val="Char"/>
    <w:basedOn w:val="1"/>
    <w:qFormat/>
    <w:uiPriority w:val="0"/>
    <w:rPr>
      <w:rFonts w:ascii="宋体" w:hAnsi="宋体" w:cs="Courier New"/>
      <w:sz w:val="32"/>
      <w:szCs w:val="32"/>
    </w:rPr>
  </w:style>
  <w:style w:type="paragraph" w:customStyle="1" w:styleId="20">
    <w:name w:val="Char1"/>
    <w:basedOn w:val="1"/>
    <w:qFormat/>
    <w:uiPriority w:val="0"/>
  </w:style>
  <w:style w:type="paragraph" w:customStyle="1" w:styleId="21">
    <w:name w:val="p0"/>
    <w:basedOn w:val="1"/>
    <w:qFormat/>
    <w:uiPriority w:val="0"/>
    <w:pPr>
      <w:widowControl/>
    </w:pPr>
    <w:rPr>
      <w:kern w:val="0"/>
      <w:szCs w:val="21"/>
    </w:rPr>
  </w:style>
  <w:style w:type="character" w:customStyle="1" w:styleId="22">
    <w:name w:val="item-middle"/>
    <w:basedOn w:val="7"/>
    <w:qFormat/>
    <w:uiPriority w:val="0"/>
  </w:style>
  <w:style w:type="character" w:customStyle="1" w:styleId="23">
    <w:name w:val="image"/>
    <w:basedOn w:val="7"/>
    <w:qFormat/>
    <w:uiPriority w:val="0"/>
  </w:style>
  <w:style w:type="character" w:customStyle="1" w:styleId="24">
    <w:name w:val="image2"/>
    <w:basedOn w:val="7"/>
    <w:qFormat/>
    <w:uiPriority w:val="0"/>
  </w:style>
  <w:style w:type="character" w:customStyle="1" w:styleId="25">
    <w:name w:val="image3"/>
    <w:basedOn w:val="7"/>
    <w:qFormat/>
    <w:uiPriority w:val="0"/>
  </w:style>
  <w:style w:type="character" w:customStyle="1" w:styleId="26">
    <w:name w:val="ui-state-hover21"/>
    <w:basedOn w:val="7"/>
    <w:qFormat/>
    <w:uiPriority w:val="0"/>
  </w:style>
  <w:style w:type="character" w:customStyle="1" w:styleId="27">
    <w:name w:val="ui-state-active5"/>
    <w:basedOn w:val="7"/>
    <w:qFormat/>
    <w:uiPriority w:val="0"/>
  </w:style>
  <w:style w:type="character" w:customStyle="1" w:styleId="28">
    <w:name w:val="ui-state-default12"/>
    <w:basedOn w:val="7"/>
    <w:qFormat/>
    <w:uiPriority w:val="0"/>
  </w:style>
  <w:style w:type="character" w:customStyle="1" w:styleId="29">
    <w:name w:val="ui-state-default13"/>
    <w:basedOn w:val="7"/>
    <w:qFormat/>
    <w:uiPriority w:val="0"/>
  </w:style>
  <w:style w:type="character" w:customStyle="1" w:styleId="30">
    <w:name w:val="clicked1"/>
    <w:basedOn w:val="7"/>
    <w:qFormat/>
    <w:uiPriority w:val="0"/>
    <w:rPr>
      <w:color w:val="000000"/>
    </w:rPr>
  </w:style>
  <w:style w:type="character" w:customStyle="1" w:styleId="31">
    <w:name w:val="clicked2"/>
    <w:basedOn w:val="7"/>
    <w:qFormat/>
    <w:uiPriority w:val="0"/>
  </w:style>
  <w:style w:type="character" w:customStyle="1" w:styleId="32">
    <w:name w:val="clicked3"/>
    <w:basedOn w:val="7"/>
    <w:qFormat/>
    <w:uiPriority w:val="0"/>
  </w:style>
  <w:style w:type="character" w:customStyle="1" w:styleId="33">
    <w:name w:val="button-hover"/>
    <w:basedOn w:val="7"/>
    <w:qFormat/>
    <w:uiPriority w:val="0"/>
  </w:style>
  <w:style w:type="character" w:customStyle="1" w:styleId="34">
    <w:name w:val="button-hover1"/>
    <w:basedOn w:val="7"/>
    <w:qFormat/>
    <w:uiPriority w:val="0"/>
  </w:style>
  <w:style w:type="character" w:customStyle="1" w:styleId="35">
    <w:name w:val="group"/>
    <w:basedOn w:val="7"/>
    <w:qFormat/>
    <w:uiPriority w:val="0"/>
  </w:style>
  <w:style w:type="character" w:customStyle="1" w:styleId="36">
    <w:name w:val="directchildrenspan"/>
    <w:basedOn w:val="7"/>
    <w:qFormat/>
    <w:uiPriority w:val="0"/>
  </w:style>
  <w:style w:type="character" w:customStyle="1" w:styleId="37">
    <w:name w:val="imgspan"/>
    <w:basedOn w:val="7"/>
    <w:qFormat/>
    <w:uiPriority w:val="0"/>
  </w:style>
  <w:style w:type="character" w:customStyle="1" w:styleId="38">
    <w:name w:val="ui-icon34"/>
    <w:basedOn w:val="7"/>
    <w:qFormat/>
    <w:uiPriority w:val="0"/>
  </w:style>
  <w:style w:type="character" w:customStyle="1" w:styleId="39">
    <w:name w:val="newstitle"/>
    <w:basedOn w:val="7"/>
    <w:qFormat/>
    <w:uiPriority w:val="0"/>
    <w:rPr>
      <w:b/>
      <w:color w:val="000000"/>
      <w:sz w:val="24"/>
      <w:szCs w:val="24"/>
    </w:rPr>
  </w:style>
  <w:style w:type="character" w:customStyle="1" w:styleId="40">
    <w:name w:val="ui-state-hover"/>
    <w:basedOn w:val="7"/>
    <w:qFormat/>
    <w:uiPriority w:val="0"/>
  </w:style>
  <w:style w:type="character" w:customStyle="1" w:styleId="41">
    <w:name w:val="image1"/>
    <w:basedOn w:val="7"/>
    <w:qFormat/>
    <w:uiPriority w:val="0"/>
  </w:style>
  <w:style w:type="character" w:customStyle="1" w:styleId="42">
    <w:name w:val="clicked"/>
    <w:basedOn w:val="7"/>
    <w:qFormat/>
    <w:uiPriority w:val="0"/>
  </w:style>
  <w:style w:type="character" w:customStyle="1" w:styleId="43">
    <w:name w:val="ui-state-active"/>
    <w:basedOn w:val="7"/>
    <w:qFormat/>
    <w:uiPriority w:val="0"/>
  </w:style>
  <w:style w:type="character" w:customStyle="1" w:styleId="44">
    <w:name w:val="ui-icon33"/>
    <w:basedOn w:val="7"/>
    <w:qFormat/>
    <w:uiPriority w:val="0"/>
  </w:style>
  <w:style w:type="character" w:customStyle="1" w:styleId="45">
    <w:name w:val="ui-state-active6"/>
    <w:basedOn w:val="7"/>
    <w:qFormat/>
    <w:uiPriority w:val="0"/>
  </w:style>
  <w:style w:type="character" w:customStyle="1" w:styleId="46">
    <w:name w:val="focus"/>
    <w:basedOn w:val="7"/>
    <w:uiPriority w:val="0"/>
  </w:style>
  <w:style w:type="character" w:customStyle="1" w:styleId="47">
    <w:name w:val="ls_smover"/>
    <w:basedOn w:val="7"/>
    <w:uiPriority w:val="0"/>
  </w:style>
  <w:style w:type="character" w:customStyle="1" w:styleId="48">
    <w:name w:val="nth-child(3)"/>
    <w:basedOn w:val="7"/>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7020</Words>
  <Characters>7594</Characters>
  <Lines>56</Lines>
  <Paragraphs>15</Paragraphs>
  <TotalTime>28</TotalTime>
  <ScaleCrop>false</ScaleCrop>
  <LinksUpToDate>false</LinksUpToDate>
  <CharactersWithSpaces>7662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chengws</dc:creator>
  <cp:lastModifiedBy>陈长安</cp:lastModifiedBy>
  <cp:lastPrinted>2022-02-14T02:36:00Z</cp:lastPrinted>
  <dcterms:modified xsi:type="dcterms:W3CDTF">2023-04-06T08:15:22Z</dcterms:modified>
  <dc:title>附件1：省级部门预算公开说明样式</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D20B9E7D65C74D07B31C963ECA809672</vt:lpwstr>
  </property>
</Properties>
</file>