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ascii="仿宋_GB2312"/>
          <w:color w:val="000000"/>
        </w:rPr>
      </w:pPr>
      <w:bookmarkStart w:id="0" w:name="_GoBack"/>
      <w:bookmarkEnd w:id="0"/>
    </w:p>
    <w:p>
      <w:pPr>
        <w:spacing w:line="560" w:lineRule="exact"/>
        <w:rPr>
          <w:rFonts w:ascii="仿宋_GB2312"/>
          <w:color w:val="000000"/>
        </w:rPr>
      </w:pPr>
    </w:p>
    <w:p>
      <w:pPr>
        <w:spacing w:line="520" w:lineRule="exact"/>
        <w:rPr>
          <w:rFonts w:ascii="仿宋_GB2312"/>
          <w:color w:val="000000"/>
        </w:rPr>
      </w:pPr>
    </w:p>
    <w:p>
      <w:pPr>
        <w:spacing w:line="560" w:lineRule="exact"/>
        <w:rPr>
          <w:rFonts w:ascii="楷体_GB2312" w:eastAsia="楷体_GB2312"/>
          <w:color w:val="000000"/>
          <w:sz w:val="60"/>
          <w:szCs w:val="60"/>
        </w:rPr>
      </w:pPr>
      <w:r>
        <w:rPr>
          <w:rFonts w:hint="eastAsia" w:ascii="仿宋_GB2312"/>
          <w:color w:val="000000"/>
        </w:rPr>
        <w:t xml:space="preserve">                                          </w:t>
      </w:r>
    </w:p>
    <w:p>
      <w:pPr>
        <w:spacing w:line="560" w:lineRule="exact"/>
        <w:rPr>
          <w:rFonts w:ascii="仿宋_GB2312"/>
          <w:color w:val="000000"/>
        </w:rPr>
      </w:pPr>
    </w:p>
    <w:p>
      <w:pPr>
        <w:spacing w:line="560" w:lineRule="exact"/>
        <w:rPr>
          <w:rFonts w:ascii="仿宋_GB2312"/>
          <w:color w:val="000000"/>
          <w:sz w:val="44"/>
          <w:szCs w:val="44"/>
        </w:rPr>
      </w:pPr>
    </w:p>
    <w:p>
      <w:pPr>
        <w:spacing w:line="560" w:lineRule="exact"/>
        <w:rPr>
          <w:rFonts w:ascii="仿宋_GB2312"/>
          <w:color w:val="000000"/>
        </w:rPr>
      </w:pPr>
    </w:p>
    <w:p>
      <w:pPr>
        <w:tabs>
          <w:tab w:val="left" w:pos="7560"/>
        </w:tabs>
        <w:spacing w:line="500" w:lineRule="exact"/>
        <w:jc w:val="center"/>
        <w:rPr>
          <w:rFonts w:ascii="仿宋_GB2312" w:eastAsia="仿宋_GB2312"/>
          <w:color w:val="000000"/>
          <w:sz w:val="32"/>
          <w:szCs w:val="32"/>
        </w:rPr>
      </w:pPr>
      <w:r>
        <w:rPr>
          <w:rFonts w:hint="eastAsia" w:ascii="仿宋_GB2312" w:eastAsia="仿宋_GB2312"/>
          <w:color w:val="000000"/>
          <w:sz w:val="32"/>
          <w:szCs w:val="32"/>
        </w:rPr>
        <w:t>丽委办发〔2020〕17号</w:t>
      </w:r>
    </w:p>
    <w:p>
      <w:pPr>
        <w:spacing w:line="400" w:lineRule="exact"/>
        <w:rPr>
          <w:rFonts w:ascii="仿宋_GB2312"/>
          <w:color w:val="000000"/>
        </w:rPr>
      </w:pPr>
    </w:p>
    <w:p>
      <w:pPr>
        <w:spacing w:line="400" w:lineRule="exact"/>
        <w:rPr>
          <w:rFonts w:ascii="仿宋_GB2312"/>
          <w:color w:val="000000"/>
        </w:rPr>
      </w:pPr>
    </w:p>
    <w:p>
      <w:pPr>
        <w:spacing w:line="700" w:lineRule="exact"/>
        <w:rPr>
          <w:rFonts w:ascii="仿宋_GB2312"/>
          <w:color w:val="000000"/>
        </w:rPr>
      </w:pPr>
    </w:p>
    <w:p>
      <w:pPr>
        <w:spacing w:line="580" w:lineRule="exact"/>
        <w:jc w:val="center"/>
        <w:rPr>
          <w:rFonts w:ascii="方正小标宋简体" w:eastAsia="方正小标宋简体"/>
          <w:sz w:val="44"/>
          <w:szCs w:val="44"/>
        </w:rPr>
      </w:pPr>
      <w:r>
        <w:rPr>
          <w:rFonts w:hint="eastAsia" w:ascii="方正小标宋简体" w:eastAsia="方正小标宋简体"/>
          <w:sz w:val="44"/>
          <w:szCs w:val="44"/>
        </w:rPr>
        <w:t>中共丽水市委办公室  丽水市人民政府办公室</w:t>
      </w:r>
    </w:p>
    <w:p>
      <w:pPr>
        <w:spacing w:line="580" w:lineRule="exact"/>
        <w:jc w:val="center"/>
        <w:rPr>
          <w:rFonts w:ascii="方正小标宋简体" w:eastAsia="方正小标宋简体"/>
          <w:sz w:val="44"/>
          <w:szCs w:val="44"/>
        </w:rPr>
      </w:pPr>
      <w:r>
        <w:rPr>
          <w:rFonts w:hint="eastAsia" w:ascii="方正小标宋简体" w:eastAsia="方正小标宋简体"/>
          <w:sz w:val="44"/>
          <w:szCs w:val="44"/>
        </w:rPr>
        <w:t>关于印发《丽水市生态工业高质量绿色发展</w:t>
      </w:r>
    </w:p>
    <w:p>
      <w:pPr>
        <w:spacing w:line="580" w:lineRule="exact"/>
        <w:jc w:val="center"/>
        <w:rPr>
          <w:rFonts w:ascii="方正小标宋简体" w:eastAsia="方正小标宋简体"/>
          <w:sz w:val="44"/>
          <w:szCs w:val="44"/>
        </w:rPr>
      </w:pPr>
      <w:r>
        <w:rPr>
          <w:rFonts w:hint="eastAsia" w:ascii="方正小标宋简体" w:eastAsia="方正小标宋简体"/>
          <w:sz w:val="44"/>
          <w:szCs w:val="44"/>
        </w:rPr>
        <w:t>倍增行动方案（2020—2025年）》的通知</w:t>
      </w:r>
    </w:p>
    <w:p>
      <w:pPr>
        <w:spacing w:line="580" w:lineRule="exact"/>
        <w:rPr>
          <w:rFonts w:ascii="方正小标宋简体" w:eastAsia="方正小标宋简体"/>
          <w:sz w:val="44"/>
          <w:szCs w:val="44"/>
        </w:rPr>
      </w:pPr>
    </w:p>
    <w:p>
      <w:pPr>
        <w:spacing w:line="580" w:lineRule="exact"/>
        <w:rPr>
          <w:rFonts w:ascii="仿宋_GB2312" w:eastAsia="仿宋_GB2312"/>
          <w:sz w:val="32"/>
          <w:szCs w:val="32"/>
        </w:rPr>
      </w:pPr>
      <w:r>
        <w:rPr>
          <w:rFonts w:hint="eastAsia" w:ascii="仿宋_GB2312" w:eastAsia="仿宋_GB2312"/>
          <w:sz w:val="32"/>
          <w:szCs w:val="32"/>
        </w:rPr>
        <w:t>各县（市、区）党委和人民政府，市直属各单位：</w:t>
      </w:r>
    </w:p>
    <w:p>
      <w:pPr>
        <w:spacing w:line="580" w:lineRule="exact"/>
        <w:ind w:firstLine="600"/>
        <w:rPr>
          <w:rFonts w:ascii="仿宋_GB2312" w:eastAsia="仿宋_GB2312"/>
          <w:sz w:val="32"/>
          <w:szCs w:val="32"/>
        </w:rPr>
      </w:pPr>
      <w:r>
        <w:rPr>
          <w:rFonts w:hint="eastAsia" w:ascii="仿宋_GB2312" w:eastAsia="仿宋_GB2312"/>
          <w:spacing w:val="-8"/>
          <w:sz w:val="32"/>
          <w:szCs w:val="32"/>
        </w:rPr>
        <w:t>《丽水市生态工业高质量绿色发展倍增行动方案（2020—2025年）》</w:t>
      </w:r>
      <w:r>
        <w:rPr>
          <w:rFonts w:hint="eastAsia" w:ascii="仿宋_GB2312" w:eastAsia="仿宋_GB2312"/>
          <w:sz w:val="32"/>
          <w:szCs w:val="32"/>
        </w:rPr>
        <w:t>已经市委、市政府同意，现印发给你们，请结合实际认真贯彻落实。</w:t>
      </w:r>
    </w:p>
    <w:p>
      <w:pPr>
        <w:spacing w:line="580" w:lineRule="exact"/>
        <w:ind w:firstLine="600"/>
        <w:rPr>
          <w:rFonts w:ascii="仿宋_GB2312" w:eastAsia="仿宋_GB2312"/>
          <w:sz w:val="32"/>
          <w:szCs w:val="32"/>
        </w:rPr>
      </w:pPr>
    </w:p>
    <w:p>
      <w:pPr>
        <w:spacing w:line="580" w:lineRule="exact"/>
        <w:ind w:firstLine="4500" w:firstLineChars="1250"/>
        <w:rPr>
          <w:rFonts w:ascii="仿宋_GB2312" w:eastAsia="仿宋_GB2312"/>
          <w:spacing w:val="20"/>
          <w:sz w:val="32"/>
          <w:szCs w:val="32"/>
        </w:rPr>
      </w:pPr>
      <w:r>
        <w:rPr>
          <w:rFonts w:hint="eastAsia" w:ascii="仿宋_GB2312" w:eastAsia="仿宋_GB2312"/>
          <w:spacing w:val="20"/>
          <w:sz w:val="32"/>
          <w:szCs w:val="32"/>
        </w:rPr>
        <w:t>中共丽水市委办公室</w:t>
      </w:r>
    </w:p>
    <w:p>
      <w:pPr>
        <w:spacing w:line="580" w:lineRule="exact"/>
        <w:ind w:firstLine="4480" w:firstLineChars="1400"/>
        <w:rPr>
          <w:rFonts w:ascii="仿宋_GB2312" w:eastAsia="仿宋_GB2312"/>
          <w:sz w:val="32"/>
          <w:szCs w:val="32"/>
        </w:rPr>
      </w:pPr>
      <w:r>
        <w:rPr>
          <w:rFonts w:hint="eastAsia" w:ascii="仿宋_GB2312" w:eastAsia="仿宋_GB2312"/>
          <w:sz w:val="32"/>
          <w:szCs w:val="32"/>
        </w:rPr>
        <w:t>丽水市人民政府办公室</w:t>
      </w:r>
    </w:p>
    <w:p>
      <w:pPr>
        <w:spacing w:line="580" w:lineRule="exact"/>
        <w:ind w:firstLine="5120" w:firstLineChars="1600"/>
        <w:rPr>
          <w:rFonts w:ascii="仿宋_GB2312" w:eastAsia="仿宋_GB2312"/>
          <w:sz w:val="32"/>
          <w:szCs w:val="32"/>
        </w:rPr>
      </w:pPr>
      <w:r>
        <w:rPr>
          <w:rFonts w:hint="eastAsia" w:ascii="仿宋_GB2312" w:eastAsia="仿宋_GB2312"/>
          <w:sz w:val="32"/>
          <w:szCs w:val="32"/>
        </w:rPr>
        <w:t>2020年6月16日</w:t>
      </w:r>
    </w:p>
    <w:p>
      <w:pPr>
        <w:spacing w:line="600" w:lineRule="exact"/>
        <w:jc w:val="center"/>
        <w:rPr>
          <w:rFonts w:ascii="方正小标宋简体" w:eastAsia="方正小标宋简体"/>
          <w:sz w:val="44"/>
          <w:szCs w:val="44"/>
        </w:rPr>
      </w:pPr>
    </w:p>
    <w:p>
      <w:pPr>
        <w:spacing w:line="600" w:lineRule="exact"/>
        <w:jc w:val="center"/>
        <w:rPr>
          <w:rFonts w:ascii="楷体_GB2312" w:eastAsia="楷体_GB2312"/>
          <w:sz w:val="32"/>
          <w:szCs w:val="32"/>
        </w:rPr>
      </w:pPr>
      <w:r>
        <w:rPr>
          <w:rFonts w:hint="eastAsia" w:ascii="方正小标宋简体" w:eastAsia="方正小标宋简体"/>
          <w:sz w:val="44"/>
          <w:szCs w:val="44"/>
        </w:rPr>
        <w:t>丽水市生态工业高质量绿色发展倍增行动方案</w:t>
      </w:r>
      <w:r>
        <w:rPr>
          <w:rFonts w:hint="eastAsia" w:ascii="楷体_GB2312" w:eastAsia="楷体_GB2312"/>
          <w:sz w:val="32"/>
          <w:szCs w:val="32"/>
        </w:rPr>
        <w:t>（2020—2025年）</w:t>
      </w:r>
    </w:p>
    <w:p>
      <w:pPr>
        <w:spacing w:line="600" w:lineRule="exact"/>
        <w:rPr>
          <w:rFonts w:ascii="方正小标宋简体" w:eastAsia="方正小标宋简体"/>
          <w:sz w:val="44"/>
          <w:szCs w:val="44"/>
        </w:rPr>
      </w:pPr>
    </w:p>
    <w:p>
      <w:pPr>
        <w:spacing w:line="600" w:lineRule="exact"/>
        <w:ind w:firstLine="640" w:firstLineChars="200"/>
        <w:rPr>
          <w:rFonts w:ascii="仿宋_GB2312" w:eastAsia="仿宋_GB2312"/>
          <w:color w:val="000000"/>
          <w:sz w:val="32"/>
          <w:szCs w:val="18"/>
        </w:rPr>
      </w:pPr>
      <w:r>
        <w:rPr>
          <w:rFonts w:hint="eastAsia" w:ascii="仿宋_GB2312" w:eastAsia="仿宋_GB2312"/>
          <w:color w:val="000000"/>
          <w:sz w:val="32"/>
          <w:szCs w:val="18"/>
        </w:rPr>
        <w:t>为深入贯彻制造强国、制造强省战略部署，加快丽水工业现代化进程，根据《中共浙江省委浙江省人民政府关于以新发展理念引领制造业高质量发展的若干意见》（浙委发〔2020〕6号）、《中共浙江省委办公厅浙江省人民政府办公厅关于印发&lt;制造强省建设行动计划&gt;的通知》（浙委办发〔2020〕8号）精神，特制定本行动方案。</w:t>
      </w:r>
    </w:p>
    <w:p>
      <w:pPr>
        <w:spacing w:line="600" w:lineRule="exact"/>
        <w:ind w:firstLine="640" w:firstLineChars="200"/>
        <w:rPr>
          <w:rFonts w:ascii="黑体" w:hAnsi="黑体" w:eastAsia="黑体"/>
          <w:color w:val="000000"/>
          <w:sz w:val="32"/>
          <w:szCs w:val="18"/>
        </w:rPr>
      </w:pPr>
      <w:r>
        <w:rPr>
          <w:rFonts w:hint="eastAsia" w:ascii="黑体" w:hAnsi="黑体" w:eastAsia="黑体"/>
          <w:color w:val="000000"/>
          <w:sz w:val="32"/>
          <w:szCs w:val="18"/>
        </w:rPr>
        <w:t>一、总体要求</w:t>
      </w:r>
    </w:p>
    <w:p>
      <w:pPr>
        <w:spacing w:line="600" w:lineRule="exact"/>
        <w:ind w:firstLine="640" w:firstLineChars="200"/>
        <w:rPr>
          <w:rFonts w:eastAsia="仿宋_GB2312"/>
          <w:color w:val="000000"/>
          <w:sz w:val="32"/>
          <w:szCs w:val="18"/>
        </w:rPr>
      </w:pPr>
      <w:r>
        <w:rPr>
          <w:rFonts w:hint="eastAsia" w:eastAsia="仿宋_GB2312"/>
          <w:color w:val="000000"/>
          <w:sz w:val="32"/>
          <w:szCs w:val="18"/>
        </w:rPr>
        <w:t>坚持以习近平新时代中国特色社会主义思想为指导，高举发展的行动旗帜，全面厉行“丽水之干”不动摇，以高质量绿色发展为引领，以创建生态工业试点示范为载体，深入实施平台“二次创业”、数字经济“一号工程”，用好跨山统筹、创新引领、问海借力三把“金钥匙”，加快打造一批高能级产业平台、培育一批丽水特色标志性产业链、壮大一批具有核心竞争力的企业集团，推动制造业质量变革、效率变革和动力变革，努力构建制造业绿色发展标杆地，实现生态工业高质量绿色发展。</w:t>
      </w:r>
    </w:p>
    <w:p>
      <w:pPr>
        <w:spacing w:line="600" w:lineRule="exact"/>
        <w:ind w:firstLine="640" w:firstLineChars="200"/>
        <w:rPr>
          <w:rFonts w:ascii="黑体" w:hAnsi="黑体" w:eastAsia="黑体"/>
          <w:color w:val="000000"/>
          <w:sz w:val="32"/>
          <w:szCs w:val="18"/>
        </w:rPr>
      </w:pPr>
      <w:r>
        <w:rPr>
          <w:rFonts w:hint="eastAsia" w:ascii="黑体" w:hAnsi="黑体" w:eastAsia="黑体"/>
          <w:color w:val="000000"/>
          <w:sz w:val="32"/>
          <w:szCs w:val="18"/>
        </w:rPr>
        <w:t>二、主要目标</w:t>
      </w:r>
    </w:p>
    <w:p>
      <w:pPr>
        <w:spacing w:line="600" w:lineRule="exact"/>
        <w:ind w:firstLine="640" w:firstLineChars="200"/>
        <w:rPr>
          <w:rFonts w:ascii="仿宋_GB2312" w:eastAsia="仿宋_GB2312"/>
          <w:color w:val="000000"/>
          <w:spacing w:val="-6"/>
          <w:sz w:val="32"/>
          <w:szCs w:val="18"/>
        </w:rPr>
      </w:pPr>
      <w:r>
        <w:rPr>
          <w:rFonts w:hint="eastAsia" w:ascii="仿宋_GB2312" w:eastAsia="仿宋_GB2312"/>
          <w:color w:val="000000"/>
          <w:sz w:val="32"/>
          <w:szCs w:val="18"/>
        </w:rPr>
        <w:t>到2025年，努力培育形成半导体全链条、精密制造、健康医药、时尚产业、数字经济“五大主导产业”，实现生态工业“五个倍增”“十个显著提升”“五个快速壮大”目标，用能效率和减</w:t>
      </w:r>
      <w:r>
        <w:rPr>
          <w:rFonts w:hint="eastAsia" w:ascii="仿宋_GB2312" w:eastAsia="仿宋_GB2312"/>
          <w:color w:val="000000"/>
          <w:spacing w:val="-6"/>
          <w:sz w:val="32"/>
          <w:szCs w:val="18"/>
        </w:rPr>
        <w:t>排水平全省领先，形成绿色、低碳、循环、可持续的生态工业体系。</w:t>
      </w:r>
    </w:p>
    <w:p>
      <w:pPr>
        <w:spacing w:line="600" w:lineRule="exact"/>
        <w:ind w:firstLine="643" w:firstLineChars="200"/>
        <w:rPr>
          <w:rFonts w:ascii="仿宋_GB2312" w:eastAsia="仿宋_GB2312"/>
          <w:color w:val="000000"/>
          <w:sz w:val="32"/>
          <w:szCs w:val="18"/>
        </w:rPr>
      </w:pPr>
      <w:r>
        <w:rPr>
          <w:rFonts w:hint="eastAsia" w:ascii="黑体" w:hAnsi="黑体" w:eastAsia="黑体"/>
          <w:b/>
          <w:color w:val="000000"/>
          <w:sz w:val="32"/>
          <w:szCs w:val="18"/>
        </w:rPr>
        <w:t>——</w:t>
      </w:r>
      <w:r>
        <w:rPr>
          <w:rFonts w:hint="eastAsia" w:ascii="楷体_GB2312" w:eastAsia="楷体_GB2312"/>
          <w:color w:val="000000"/>
          <w:sz w:val="32"/>
          <w:szCs w:val="18"/>
        </w:rPr>
        <w:t>五个倍增。</w:t>
      </w:r>
      <w:r>
        <w:rPr>
          <w:rFonts w:hint="eastAsia" w:ascii="仿宋_GB2312" w:eastAsia="仿宋_GB2312"/>
          <w:color w:val="000000"/>
          <w:sz w:val="32"/>
          <w:szCs w:val="18"/>
        </w:rPr>
        <w:t>全市规上工业产值达到2800亿元（增加值600亿元）、研发费用达到80亿元、亩均增加值达到150万元、亩均税收达到30万元，年度工业投资达到300亿元。</w:t>
      </w:r>
    </w:p>
    <w:p>
      <w:pPr>
        <w:spacing w:line="600" w:lineRule="exact"/>
        <w:ind w:firstLine="643" w:firstLineChars="200"/>
        <w:rPr>
          <w:rFonts w:ascii="仿宋_GB2312" w:eastAsia="仿宋_GB2312"/>
          <w:color w:val="000000"/>
          <w:sz w:val="32"/>
          <w:szCs w:val="18"/>
        </w:rPr>
      </w:pPr>
      <w:r>
        <w:rPr>
          <w:rFonts w:hint="eastAsia" w:ascii="黑体" w:hAnsi="黑体" w:eastAsia="黑体"/>
          <w:b/>
          <w:color w:val="000000"/>
          <w:sz w:val="32"/>
          <w:szCs w:val="18"/>
        </w:rPr>
        <w:t>——</w:t>
      </w:r>
      <w:r>
        <w:rPr>
          <w:rFonts w:hint="eastAsia" w:ascii="楷体_GB2312" w:eastAsia="楷体_GB2312"/>
          <w:color w:val="000000"/>
          <w:sz w:val="32"/>
          <w:szCs w:val="18"/>
        </w:rPr>
        <w:t>十个显著提升。</w:t>
      </w:r>
      <w:r>
        <w:rPr>
          <w:rFonts w:hint="eastAsia" w:ascii="仿宋_GB2312" w:eastAsia="仿宋_GB2312"/>
          <w:color w:val="000000"/>
          <w:sz w:val="32"/>
          <w:szCs w:val="18"/>
        </w:rPr>
        <w:t>全市工业增加值、数字经济核心产业增加值、R&amp;D经费支出占地区生产总值比重分别达到33.3%、5%、3%；高新技术产业、战略性新兴产业、装备制造业增加值占规上工业比重分别达到40%、21%、29%；规上工业全员劳动生产率、主营业务收入利润率、工业增加值率分别达到30万元/人、7%、23%；园区规上工业产值占全市比重达到80%。</w:t>
      </w:r>
    </w:p>
    <w:p>
      <w:pPr>
        <w:spacing w:line="600" w:lineRule="exact"/>
        <w:ind w:firstLine="643" w:firstLineChars="200"/>
        <w:rPr>
          <w:rFonts w:ascii="仿宋_GB2312" w:eastAsia="仿宋_GB2312"/>
          <w:color w:val="000000"/>
          <w:sz w:val="32"/>
          <w:szCs w:val="18"/>
        </w:rPr>
      </w:pPr>
      <w:r>
        <w:rPr>
          <w:rFonts w:hint="eastAsia" w:ascii="黑体" w:hAnsi="黑体" w:eastAsia="黑体"/>
          <w:b/>
          <w:color w:val="000000"/>
          <w:sz w:val="32"/>
          <w:szCs w:val="18"/>
        </w:rPr>
        <w:t>——</w:t>
      </w:r>
      <w:r>
        <w:rPr>
          <w:rFonts w:hint="eastAsia" w:ascii="楷体_GB2312" w:eastAsia="楷体_GB2312"/>
          <w:color w:val="000000"/>
          <w:sz w:val="32"/>
          <w:szCs w:val="18"/>
        </w:rPr>
        <w:t>五个快速壮大。</w:t>
      </w:r>
      <w:r>
        <w:rPr>
          <w:rFonts w:hint="eastAsia" w:ascii="仿宋_GB2312" w:eastAsia="仿宋_GB2312"/>
          <w:color w:val="000000"/>
          <w:sz w:val="32"/>
          <w:szCs w:val="18"/>
        </w:rPr>
        <w:t>全市工业主营业务收入百亿元以上企业（集团）达到5家、亿元以上企业达到500家、规上企业达到1600家，高新技术企业达到600家，上市公司（不含新三板）达到15家。</w:t>
      </w:r>
    </w:p>
    <w:p>
      <w:pPr>
        <w:spacing w:line="600" w:lineRule="exact"/>
        <w:ind w:firstLine="640" w:firstLineChars="200"/>
        <w:rPr>
          <w:rFonts w:ascii="黑体" w:hAnsi="黑体" w:eastAsia="黑体"/>
          <w:color w:val="000000"/>
          <w:sz w:val="32"/>
          <w:szCs w:val="18"/>
        </w:rPr>
      </w:pPr>
      <w:r>
        <w:rPr>
          <w:rFonts w:hint="eastAsia" w:ascii="黑体" w:hAnsi="黑体" w:eastAsia="黑体"/>
          <w:color w:val="000000"/>
          <w:sz w:val="32"/>
          <w:szCs w:val="18"/>
        </w:rPr>
        <w:t>三、重点领域</w:t>
      </w:r>
    </w:p>
    <w:p>
      <w:pPr>
        <w:spacing w:line="600" w:lineRule="exact"/>
        <w:ind w:firstLine="640" w:firstLineChars="200"/>
        <w:jc w:val="left"/>
        <w:rPr>
          <w:rFonts w:ascii="仿宋_GB2312" w:eastAsia="仿宋_GB2312"/>
          <w:color w:val="000000"/>
          <w:sz w:val="32"/>
          <w:szCs w:val="18"/>
        </w:rPr>
      </w:pPr>
      <w:r>
        <w:rPr>
          <w:rFonts w:ascii="楷体_GB2312" w:eastAsia="楷体_GB2312"/>
          <w:color w:val="000000"/>
          <w:sz w:val="32"/>
          <w:szCs w:val="18"/>
        </w:rPr>
        <w:t>（</w:t>
      </w:r>
      <w:r>
        <w:rPr>
          <w:rFonts w:hint="eastAsia" w:ascii="楷体_GB2312" w:eastAsia="楷体_GB2312"/>
          <w:color w:val="000000"/>
          <w:sz w:val="32"/>
          <w:szCs w:val="18"/>
        </w:rPr>
        <w:t>一</w:t>
      </w:r>
      <w:r>
        <w:rPr>
          <w:rFonts w:ascii="楷体_GB2312" w:eastAsia="楷体_GB2312"/>
          <w:color w:val="000000"/>
          <w:sz w:val="32"/>
          <w:szCs w:val="18"/>
        </w:rPr>
        <w:t>）半导体全链条</w:t>
      </w:r>
      <w:r>
        <w:rPr>
          <w:rFonts w:hint="eastAsia" w:ascii="楷体_GB2312" w:eastAsia="楷体_GB2312"/>
          <w:color w:val="000000"/>
          <w:sz w:val="32"/>
          <w:szCs w:val="18"/>
        </w:rPr>
        <w:t>。</w:t>
      </w:r>
      <w:r>
        <w:rPr>
          <w:rFonts w:hint="eastAsia" w:ascii="仿宋_GB2312" w:eastAsia="仿宋_GB2312"/>
          <w:color w:val="000000"/>
          <w:sz w:val="32"/>
          <w:szCs w:val="18"/>
        </w:rPr>
        <w:t>重点建设丽水半导体产业园。以芯片制造为核心，瞄准半导体器件、材料、模组及终端制造与封测等产业链环节，构建半导体全链条。以丽水开发区为主体建设半导体核“芯”区，以杭州丽水数字大厦为主体打造前沿创新基地，形成“一芯一地”发展格局。到2025年全市半导体全链条形成产值150亿元。</w:t>
      </w:r>
    </w:p>
    <w:p>
      <w:pPr>
        <w:spacing w:line="600" w:lineRule="exact"/>
        <w:ind w:firstLine="640" w:firstLineChars="200"/>
        <w:rPr>
          <w:rFonts w:ascii="仿宋_GB2312" w:eastAsia="仿宋_GB2312"/>
          <w:color w:val="000000"/>
          <w:sz w:val="32"/>
          <w:szCs w:val="18"/>
        </w:rPr>
      </w:pPr>
      <w:r>
        <w:rPr>
          <w:rFonts w:hint="eastAsia" w:ascii="楷体_GB2312" w:hAnsi="黑体" w:eastAsia="楷体_GB2312"/>
          <w:color w:val="000000"/>
          <w:sz w:val="32"/>
          <w:szCs w:val="18"/>
        </w:rPr>
        <w:t>（二）</w:t>
      </w:r>
      <w:r>
        <w:rPr>
          <w:rFonts w:hint="eastAsia" w:ascii="楷体_GB2312" w:eastAsia="楷体_GB2312"/>
          <w:color w:val="000000"/>
          <w:sz w:val="32"/>
          <w:szCs w:val="18"/>
        </w:rPr>
        <w:t>精密制造。</w:t>
      </w:r>
      <w:r>
        <w:rPr>
          <w:rFonts w:hint="eastAsia" w:ascii="仿宋_GB2312" w:eastAsia="仿宋_GB2312"/>
          <w:color w:val="000000"/>
          <w:sz w:val="32"/>
          <w:szCs w:val="18"/>
        </w:rPr>
        <w:t>聚焦高端装备、人工智能、节能环保、高端基础件四大领域，重点培育直线导轨、轴承、传感器、传动装置，形成滚动功能部件产业集群；发展智能家居、机器人，打造智能家电全产业链；开发智能机床、仪表、专用装备等整机设备，打造特色机床小镇；培育高效节能电机、水源热泵（技术）、水污染治理等节能环保装备；加快提升发展高性能阀门、汽摩配、电气机械和高品质金属新材料等高端基础件。到2025年全市精密制造产值达到1000亿元。</w:t>
      </w:r>
    </w:p>
    <w:p>
      <w:pPr>
        <w:spacing w:line="600" w:lineRule="exact"/>
        <w:ind w:firstLine="640" w:firstLineChars="200"/>
        <w:rPr>
          <w:rFonts w:eastAsia="仿宋_GB2312"/>
          <w:color w:val="000000"/>
          <w:sz w:val="32"/>
          <w:szCs w:val="18"/>
        </w:rPr>
      </w:pPr>
      <w:r>
        <w:rPr>
          <w:rFonts w:hint="eastAsia" w:ascii="楷体_GB2312" w:hAnsi="黑体" w:eastAsia="楷体_GB2312"/>
          <w:color w:val="000000"/>
          <w:sz w:val="32"/>
          <w:szCs w:val="18"/>
        </w:rPr>
        <w:t>（三）健康医药。</w:t>
      </w:r>
      <w:r>
        <w:rPr>
          <w:rFonts w:hint="eastAsia" w:ascii="仿宋_GB2312" w:eastAsia="仿宋_GB2312"/>
          <w:color w:val="000000"/>
          <w:sz w:val="32"/>
          <w:szCs w:val="18"/>
        </w:rPr>
        <w:t>聚焦现代中药、保健品及生物提取、高端化学制剂、生物技术药四大领域，重点开发中药饮片、中药配方颗粒、茶保健品、食用菌多糖、灵芝破壁孢子粉、中药茶饮和民族药（畲药），构建现代中药全产业链；做大做强阿奇霉素肠溶胶囊、红霉素肠溶胶囊等高端化学制剂，开展二次专利仿制创新；积极引进一批抗体药物、重组蛋白、多肽、新型疫苗等生物制药企业。建设原能细胞千亩（大健康）生命科技走廊。到2025年，全市健康医药制造业产值达到100亿元</w:t>
      </w:r>
      <w:r>
        <w:rPr>
          <w:rFonts w:hint="eastAsia" w:eastAsia="仿宋_GB2312"/>
          <w:color w:val="000000"/>
          <w:sz w:val="32"/>
          <w:szCs w:val="18"/>
        </w:rPr>
        <w:t>。</w:t>
      </w:r>
    </w:p>
    <w:p>
      <w:pPr>
        <w:spacing w:line="600" w:lineRule="exact"/>
        <w:ind w:firstLine="640" w:firstLineChars="200"/>
        <w:rPr>
          <w:rFonts w:ascii="仿宋_GB2312" w:eastAsia="仿宋_GB2312"/>
          <w:color w:val="000000"/>
          <w:sz w:val="32"/>
          <w:szCs w:val="18"/>
        </w:rPr>
      </w:pPr>
      <w:r>
        <w:rPr>
          <w:rFonts w:hint="eastAsia" w:ascii="楷体_GB2312" w:eastAsia="楷体_GB2312"/>
          <w:color w:val="000000"/>
          <w:sz w:val="32"/>
          <w:szCs w:val="18"/>
        </w:rPr>
        <w:t>（四）时尚产业。</w:t>
      </w:r>
      <w:r>
        <w:rPr>
          <w:rFonts w:hint="eastAsia" w:ascii="仿宋_GB2312" w:eastAsia="仿宋_GB2312"/>
          <w:color w:val="000000"/>
          <w:sz w:val="32"/>
          <w:szCs w:val="18"/>
        </w:rPr>
        <w:t>聚焦时尚革材、时尚鞋服、历史经典、传统优势产业四大领域，重点发展超细纤维合成革、水性生态合成革，打造国内最大水性生态革集群；以创意设计为引领，培育鞋革、羽绒、箱包等自主时尚品牌；突出龙泉剑瓷、青田石雕等历史经典产业优势，对接影视产业发展需求；推动木制玩具（教具）、文体用品、竹木制品、畲族工艺品向现代时尚产业集群转型提升。到2025年，全市时尚产业制造业产值达到600亿元。</w:t>
      </w:r>
    </w:p>
    <w:p>
      <w:pPr>
        <w:spacing w:line="600" w:lineRule="exact"/>
        <w:ind w:firstLine="640" w:firstLineChars="200"/>
        <w:jc w:val="left"/>
        <w:rPr>
          <w:rFonts w:ascii="仿宋_GB2312" w:eastAsia="仿宋_GB2312"/>
          <w:color w:val="000000"/>
          <w:sz w:val="32"/>
          <w:szCs w:val="18"/>
        </w:rPr>
      </w:pPr>
      <w:r>
        <w:rPr>
          <w:rFonts w:hint="eastAsia" w:ascii="楷体_GB2312" w:eastAsia="楷体_GB2312"/>
          <w:color w:val="000000"/>
          <w:sz w:val="32"/>
          <w:szCs w:val="18"/>
        </w:rPr>
        <w:t>（五）数字经济。</w:t>
      </w:r>
      <w:r>
        <w:rPr>
          <w:rFonts w:hint="eastAsia" w:ascii="仿宋_GB2312" w:eastAsia="仿宋_GB2312"/>
          <w:color w:val="000000"/>
          <w:sz w:val="32"/>
          <w:szCs w:val="18"/>
        </w:rPr>
        <w:t>聚焦“数字产业化、产业数字化”，打造数字生态经济先行区、示范区和数字大花园。</w:t>
      </w:r>
      <w:r>
        <w:rPr>
          <w:rFonts w:hint="eastAsia" w:ascii="仿宋_GB2312" w:hAnsi="Calibri" w:eastAsia="仿宋_GB2312"/>
          <w:color w:val="000000"/>
          <w:sz w:val="32"/>
          <w:szCs w:val="18"/>
        </w:rPr>
        <w:t>以</w:t>
      </w:r>
      <w:r>
        <w:rPr>
          <w:rFonts w:hint="eastAsia" w:ascii="仿宋_GB2312" w:eastAsia="仿宋_GB2312"/>
          <w:color w:val="000000"/>
          <w:sz w:val="32"/>
          <w:szCs w:val="18"/>
        </w:rPr>
        <w:t>物联网、互联网平台和数字文创为特色，</w:t>
      </w:r>
      <w:r>
        <w:rPr>
          <w:rFonts w:hint="eastAsia" w:ascii="仿宋_GB2312" w:hAnsi="Calibri" w:eastAsia="仿宋_GB2312"/>
          <w:color w:val="000000"/>
          <w:sz w:val="32"/>
          <w:szCs w:val="18"/>
        </w:rPr>
        <w:t>统筹谋划绿谷信息产业园、杭州丽水数字大厦、丽水数字经济双创园，</w:t>
      </w:r>
      <w:r>
        <w:rPr>
          <w:rFonts w:hint="eastAsia" w:ascii="仿宋_GB2312" w:eastAsia="仿宋_GB2312"/>
          <w:color w:val="000000"/>
          <w:sz w:val="32"/>
          <w:szCs w:val="18"/>
        </w:rPr>
        <w:t>打造丽水</w:t>
      </w:r>
      <w:r>
        <w:rPr>
          <w:rFonts w:hint="eastAsia" w:ascii="仿宋_GB2312" w:hAnsi="Calibri" w:eastAsia="仿宋_GB2312"/>
          <w:color w:val="000000"/>
          <w:sz w:val="32"/>
          <w:szCs w:val="18"/>
        </w:rPr>
        <w:t>数字经济发展主平台。</w:t>
      </w:r>
      <w:r>
        <w:rPr>
          <w:rFonts w:hint="eastAsia" w:ascii="仿宋_GB2312" w:eastAsia="仿宋_GB2312"/>
          <w:color w:val="000000"/>
          <w:sz w:val="32"/>
          <w:szCs w:val="18"/>
        </w:rPr>
        <w:t>发展5G新兴技术融合应用，打响网红直播经济品牌。推进“大数据+”制造应用，聚焦智能家居、智能安防、智能机器人，开展智能化产品及装备研发创新。到2025年，全市数字经济核心产业增加值达到100亿元。</w:t>
      </w:r>
    </w:p>
    <w:p>
      <w:pPr>
        <w:spacing w:line="600" w:lineRule="exact"/>
        <w:ind w:firstLine="640" w:firstLineChars="200"/>
        <w:rPr>
          <w:rFonts w:ascii="黑体" w:hAnsi="黑体" w:eastAsia="黑体"/>
          <w:color w:val="000000"/>
          <w:sz w:val="32"/>
          <w:szCs w:val="18"/>
        </w:rPr>
      </w:pPr>
      <w:r>
        <w:rPr>
          <w:rFonts w:hint="eastAsia" w:ascii="黑体" w:hAnsi="黑体" w:eastAsia="黑体"/>
          <w:color w:val="000000"/>
          <w:sz w:val="32"/>
          <w:szCs w:val="18"/>
        </w:rPr>
        <w:t>四、主要任务</w:t>
      </w:r>
    </w:p>
    <w:p>
      <w:pPr>
        <w:spacing w:line="600" w:lineRule="exact"/>
        <w:ind w:firstLine="640" w:firstLineChars="200"/>
        <w:rPr>
          <w:rFonts w:ascii="楷体_GB2312" w:eastAsia="楷体_GB2312"/>
          <w:color w:val="000000"/>
          <w:sz w:val="32"/>
          <w:szCs w:val="18"/>
        </w:rPr>
      </w:pPr>
      <w:r>
        <w:rPr>
          <w:rFonts w:hint="eastAsia" w:ascii="楷体_GB2312" w:hAnsi="楷体" w:eastAsia="楷体_GB2312"/>
          <w:color w:val="000000"/>
          <w:sz w:val="32"/>
          <w:szCs w:val="18"/>
        </w:rPr>
        <w:t>（一）优化生态工业生产力布局。</w:t>
      </w:r>
      <w:r>
        <w:rPr>
          <w:rFonts w:hint="eastAsia" w:ascii="仿宋_GB2312" w:eastAsia="仿宋_GB2312"/>
          <w:color w:val="000000"/>
          <w:sz w:val="32"/>
          <w:szCs w:val="18"/>
        </w:rPr>
        <w:t>聚力“跨山统筹”，强化一体化、协同化、差异化发展，构建“一带三区”生态工业新格局。坚持“一带”产业大而强定位，到2025年，市区（含莲都、丽水开发区）、缙云、青田规上工业增加值占全市2/3以上，引导“三区”做精、做优、做特，形成一批百亿特色产业。</w:t>
      </w:r>
      <w:r>
        <w:rPr>
          <w:rFonts w:hint="eastAsia" w:ascii="仿宋_GB2312" w:eastAsia="仿宋_GB2312"/>
          <w:color w:val="000000"/>
          <w:sz w:val="32"/>
          <w:szCs w:val="32"/>
        </w:rPr>
        <w:t>紧扣“整合、转型、赋能、开放、改制”十字方针，启动实施平台“二次创业”。综合采取“并、调、撤、转”等方式，开展平台整合提升攻坚，推进老旧工业小区有机更新、合并、撤销，打造高能级平台。</w:t>
      </w:r>
      <w:r>
        <w:rPr>
          <w:rFonts w:hint="eastAsia" w:ascii="仿宋_GB2312" w:eastAsia="仿宋_GB2312"/>
          <w:color w:val="000000"/>
          <w:sz w:val="32"/>
          <w:szCs w:val="18"/>
        </w:rPr>
        <w:t>到2025年力争</w:t>
      </w:r>
      <w:r>
        <w:rPr>
          <w:rFonts w:hint="eastAsia" w:ascii="仿宋_GB2312" w:eastAsia="仿宋_GB2312"/>
          <w:color w:val="000000"/>
          <w:sz w:val="32"/>
          <w:szCs w:val="32"/>
        </w:rPr>
        <w:t>形成1—2个“万亩千亿”大平台和10个以上百亿能级平台</w:t>
      </w:r>
      <w:r>
        <w:rPr>
          <w:rFonts w:hint="eastAsia" w:ascii="仿宋_GB2312" w:eastAsia="仿宋_GB2312"/>
          <w:color w:val="000000"/>
          <w:sz w:val="32"/>
          <w:szCs w:val="18"/>
        </w:rPr>
        <w:t>，平台投资强度、经济密度、税收密度实现倍增。</w:t>
      </w:r>
      <w:r>
        <w:rPr>
          <w:rFonts w:hint="eastAsia" w:ascii="仿宋_GB2312" w:eastAsia="仿宋_GB2312"/>
          <w:color w:val="000000"/>
          <w:sz w:val="32"/>
          <w:szCs w:val="32"/>
        </w:rPr>
        <w:t>实施丽水开发区“东扩西进”战略，</w:t>
      </w:r>
      <w:r>
        <w:rPr>
          <w:rFonts w:hint="eastAsia" w:ascii="仿宋_GB2312" w:eastAsia="仿宋_GB2312"/>
          <w:color w:val="000000"/>
          <w:sz w:val="32"/>
          <w:szCs w:val="18"/>
        </w:rPr>
        <w:t>力争进入国家级开发区排名前100。探索委托管理、合作开发等新模式，谋划一批产业发展新空间。</w:t>
      </w:r>
      <w:r>
        <w:rPr>
          <w:rFonts w:hint="eastAsia" w:ascii="楷体_GB2312" w:eastAsia="楷体_GB2312"/>
          <w:color w:val="000000"/>
          <w:sz w:val="32"/>
          <w:szCs w:val="18"/>
        </w:rPr>
        <w:t>[责任单位：市发改委、市经信局、市科技局、市商务局，具体工作均需各县（市、区）人民政府、丽水开发区管委会按属地责任落实，以下不再列出]</w:t>
      </w:r>
    </w:p>
    <w:p>
      <w:pPr>
        <w:spacing w:line="600" w:lineRule="exact"/>
        <w:ind w:firstLine="640" w:firstLineChars="200"/>
        <w:rPr>
          <w:rFonts w:eastAsia="仿宋_GB2312"/>
          <w:color w:val="000000"/>
          <w:sz w:val="32"/>
          <w:szCs w:val="18"/>
        </w:rPr>
      </w:pPr>
      <w:r>
        <w:rPr>
          <w:rFonts w:ascii="楷体_GB2312" w:eastAsia="楷体_GB2312"/>
          <w:color w:val="000000"/>
          <w:sz w:val="32"/>
          <w:szCs w:val="32"/>
        </w:rPr>
        <w:t>（二）提高制造业创新能力</w:t>
      </w:r>
      <w:r>
        <w:rPr>
          <w:rFonts w:hint="eastAsia" w:ascii="楷体_GB2312" w:eastAsia="楷体_GB2312"/>
          <w:color w:val="000000"/>
          <w:sz w:val="32"/>
          <w:szCs w:val="32"/>
        </w:rPr>
        <w:t>。</w:t>
      </w:r>
      <w:r>
        <w:rPr>
          <w:rFonts w:hint="eastAsia" w:ascii="仿宋_GB2312" w:eastAsia="仿宋_GB2312"/>
          <w:color w:val="000000"/>
          <w:sz w:val="32"/>
          <w:szCs w:val="18"/>
        </w:rPr>
        <w:t>聚力“创新引领”，加快建设浙西南科创中心。</w:t>
      </w:r>
      <w:r>
        <w:rPr>
          <w:rFonts w:hint="eastAsia" w:ascii="仿宋_GB2312" w:hAnsi="仿宋_GB2312" w:eastAsia="仿宋_GB2312" w:cs="仿宋_GB2312"/>
          <w:color w:val="000000"/>
          <w:sz w:val="32"/>
          <w:szCs w:val="40"/>
        </w:rPr>
        <w:t>合理布局科技创新资源，</w:t>
      </w:r>
      <w:r>
        <w:rPr>
          <w:rFonts w:hint="eastAsia" w:ascii="仿宋_GB2312" w:eastAsia="仿宋_GB2312"/>
          <w:color w:val="000000"/>
          <w:sz w:val="32"/>
          <w:szCs w:val="18"/>
        </w:rPr>
        <w:t>谋划以市区为核心，以瓯江为轴线的</w:t>
      </w:r>
      <w:r>
        <w:rPr>
          <w:rFonts w:hint="eastAsia" w:ascii="仿宋_GB2312" w:hAnsi="仿宋_GB2312" w:eastAsia="仿宋_GB2312" w:cs="仿宋_GB2312"/>
          <w:color w:val="000000"/>
          <w:sz w:val="32"/>
          <w:szCs w:val="40"/>
        </w:rPr>
        <w:t>“一心一带三区多点”</w:t>
      </w:r>
      <w:r>
        <w:rPr>
          <w:rFonts w:hint="eastAsia" w:ascii="仿宋_GB2312" w:eastAsia="仿宋_GB2312"/>
          <w:color w:val="000000"/>
          <w:sz w:val="32"/>
          <w:szCs w:val="18"/>
        </w:rPr>
        <w:t>创新资源总体布局，重点推进大梁山—南明山科创大走廊和浙西南科创产业园建设；创建丽缙园国家级高新区。高标准建设创新载体，谋划建设丽水中科院先进半导体研究中心、华润三九研究中心、京东云数字经济研究中心、直线导轨工作母机研发中心、生态经济数字化工程（丽水）研究院等。各县（市、区）、丽水开发区均建成2个以上产业创新服务综合体，全市入围省级创建和培育5个以上。增强企业自主创新能力，推动规上工业企业研发活动、研发机构、发明专利“三个全覆盖”。编制“卡脖子”关键核心技术清单，实施产业链协同创新项目计划，开发首台套（首批次、首版次）产品。</w:t>
      </w:r>
      <w:r>
        <w:rPr>
          <w:rFonts w:hint="eastAsia" w:ascii="楷体_GB2312" w:eastAsia="楷体_GB2312"/>
          <w:color w:val="000000"/>
          <w:sz w:val="32"/>
          <w:szCs w:val="18"/>
        </w:rPr>
        <w:t>（责任单位：市发改委、市经信局、市科技局）</w:t>
      </w:r>
    </w:p>
    <w:p>
      <w:pPr>
        <w:spacing w:line="600" w:lineRule="exact"/>
        <w:ind w:firstLine="640" w:firstLineChars="200"/>
        <w:rPr>
          <w:rFonts w:ascii="楷体_GB2312" w:eastAsia="楷体_GB2312"/>
          <w:color w:val="000000"/>
          <w:sz w:val="32"/>
          <w:szCs w:val="18"/>
        </w:rPr>
      </w:pPr>
      <w:r>
        <w:rPr>
          <w:rFonts w:ascii="楷体_GB2312" w:eastAsia="楷体_GB2312"/>
          <w:color w:val="000000"/>
          <w:sz w:val="32"/>
          <w:szCs w:val="32"/>
        </w:rPr>
        <w:t>（</w:t>
      </w:r>
      <w:r>
        <w:rPr>
          <w:rFonts w:hint="eastAsia" w:ascii="楷体_GB2312" w:eastAsia="楷体_GB2312"/>
          <w:color w:val="000000"/>
          <w:sz w:val="32"/>
          <w:szCs w:val="32"/>
        </w:rPr>
        <w:t>三</w:t>
      </w:r>
      <w:r>
        <w:rPr>
          <w:rFonts w:ascii="楷体_GB2312" w:eastAsia="楷体_GB2312"/>
          <w:color w:val="000000"/>
          <w:sz w:val="32"/>
          <w:szCs w:val="32"/>
        </w:rPr>
        <w:t>）突出重大产业项目招商</w:t>
      </w:r>
      <w:r>
        <w:rPr>
          <w:rFonts w:hint="eastAsia" w:ascii="楷体_GB2312" w:eastAsia="楷体_GB2312"/>
          <w:color w:val="000000"/>
          <w:sz w:val="32"/>
          <w:szCs w:val="32"/>
        </w:rPr>
        <w:t>。</w:t>
      </w:r>
      <w:r>
        <w:rPr>
          <w:rFonts w:hint="eastAsia" w:ascii="仿宋_GB2312" w:eastAsia="仿宋_GB2312"/>
          <w:color w:val="000000"/>
          <w:sz w:val="32"/>
          <w:szCs w:val="18"/>
        </w:rPr>
        <w:t>聚力“问海借力”，打造开放发展高地，融入长三角高质量一体化发展。聚焦产业链生态培育，围绕有引领性研发机构、有龙头企业和单项（隐形）冠军、有大好高项目、有产业创新服务综合体、有核心竞争力的“五有”产业培育，统筹抓好建链、补链、延链、强链。搭建招商平台，设立一批产业基金，形成“基金+项目+园区”招商生态链；深化全球精准合作，推动中意机器人、中德制造、中比休闲食品等国际合作产业园建设；深化山海协作产业园建设，实施“飞地”招商；瞄准侨商资本回归，谋划一批总部经济、楼宇经济招商平台。聚焦制造业重大产业项目招引，紧盯央企、世界500强企业、国内民营企业500强、上市公司等，实施头部企业引领战略，加快形成“龙头项目—产业组链（链组）—现代集群—未来基地”的发展态势。到2025年累计引进亿元以上工业重大项目400个以上。</w:t>
      </w:r>
      <w:r>
        <w:rPr>
          <w:rFonts w:hint="eastAsia" w:ascii="楷体_GB2312" w:eastAsia="楷体_GB2312"/>
          <w:color w:val="000000"/>
          <w:sz w:val="32"/>
          <w:szCs w:val="18"/>
        </w:rPr>
        <w:t>（责任单位：市发改委、市经信局、市财政局、市商务局）</w:t>
      </w:r>
    </w:p>
    <w:p>
      <w:pPr>
        <w:spacing w:line="600" w:lineRule="exact"/>
        <w:ind w:firstLine="640" w:firstLineChars="200"/>
        <w:rPr>
          <w:rFonts w:ascii="楷体_GB2312" w:eastAsia="楷体_GB2312"/>
          <w:color w:val="000000"/>
          <w:sz w:val="32"/>
          <w:szCs w:val="18"/>
        </w:rPr>
      </w:pPr>
      <w:r>
        <w:rPr>
          <w:rFonts w:hint="eastAsia" w:eastAsia="楷体_GB2312"/>
          <w:bCs/>
          <w:color w:val="000000"/>
          <w:sz w:val="32"/>
          <w:szCs w:val="18"/>
        </w:rPr>
        <w:t>（四）实施传统制造业改造提升2.0 版。</w:t>
      </w:r>
      <w:r>
        <w:rPr>
          <w:rFonts w:hint="eastAsia" w:ascii="仿宋_GB2312" w:eastAsia="仿宋_GB2312"/>
          <w:color w:val="000000"/>
          <w:sz w:val="32"/>
          <w:szCs w:val="18"/>
        </w:rPr>
        <w:t>深化重点产业生态化改造，重点推进</w:t>
      </w:r>
      <w:r>
        <w:rPr>
          <w:rFonts w:hint="eastAsia" w:ascii="仿宋_GB2312" w:hAnsi="Calibri" w:eastAsia="仿宋_GB2312"/>
          <w:color w:val="000000"/>
          <w:sz w:val="32"/>
          <w:szCs w:val="32"/>
        </w:rPr>
        <w:t>合成革、阀门、金属制品、</w:t>
      </w:r>
      <w:r>
        <w:rPr>
          <w:rFonts w:hint="eastAsia" w:ascii="仿宋_GB2312" w:eastAsia="仿宋_GB2312"/>
          <w:color w:val="000000"/>
          <w:sz w:val="32"/>
          <w:szCs w:val="32"/>
        </w:rPr>
        <w:t>不锈钢、</w:t>
      </w:r>
      <w:r>
        <w:rPr>
          <w:rFonts w:hint="eastAsia" w:ascii="仿宋_GB2312" w:hAnsi="Calibri" w:eastAsia="仿宋_GB2312"/>
          <w:color w:val="000000"/>
          <w:sz w:val="32"/>
          <w:szCs w:val="32"/>
        </w:rPr>
        <w:t>木制玩具、竹木加工、</w:t>
      </w:r>
      <w:r>
        <w:rPr>
          <w:rFonts w:hint="eastAsia" w:ascii="仿宋_GB2312" w:eastAsia="仿宋_GB2312"/>
          <w:color w:val="000000"/>
          <w:sz w:val="32"/>
          <w:szCs w:val="32"/>
        </w:rPr>
        <w:t>汽车空调配件等一批传统产业</w:t>
      </w:r>
      <w:r>
        <w:rPr>
          <w:rFonts w:hint="eastAsia" w:ascii="仿宋_GB2312" w:eastAsia="仿宋_GB2312"/>
          <w:color w:val="000000"/>
          <w:sz w:val="32"/>
          <w:szCs w:val="18"/>
        </w:rPr>
        <w:t>向集群化、数字化、服务化、品质化、绿色化发展和产业链协同创新迭代升级。实施“低散乱”企业整治新三年行动计划，</w:t>
      </w:r>
      <w:r>
        <w:rPr>
          <w:rFonts w:hint="eastAsia" w:ascii="仿宋_GB2312" w:eastAsia="仿宋_GB2312"/>
          <w:color w:val="000000"/>
          <w:sz w:val="32"/>
          <w:szCs w:val="32"/>
        </w:rPr>
        <w:t>对标建立实施高于全国、全省的分行业亩产效益、单位能耗、污染排放、安全生产等标准体系，</w:t>
      </w:r>
      <w:r>
        <w:rPr>
          <w:rFonts w:hint="eastAsia" w:ascii="仿宋_GB2312" w:eastAsia="仿宋_GB2312"/>
          <w:color w:val="000000"/>
          <w:sz w:val="32"/>
          <w:szCs w:val="18"/>
        </w:rPr>
        <w:t>新建小微企业园总数达50个以上，全面完成丽水开发区亩均税收3万元以下、全市开发区（工业园区）亩均税收1万元以下低效企业的出清，</w:t>
      </w:r>
      <w:r>
        <w:rPr>
          <w:rFonts w:hint="eastAsia" w:ascii="仿宋_GB2312" w:hAnsi="仿宋" w:eastAsia="仿宋_GB2312"/>
          <w:color w:val="000000"/>
          <w:sz w:val="32"/>
          <w:szCs w:val="32"/>
        </w:rPr>
        <w:t>高水平实现“园区外基本无工业、园区内基本无非生态工业”。</w:t>
      </w:r>
      <w:r>
        <w:rPr>
          <w:rFonts w:hint="eastAsia" w:ascii="仿宋_GB2312" w:eastAsia="仿宋_GB2312"/>
          <w:color w:val="000000"/>
          <w:sz w:val="32"/>
          <w:szCs w:val="18"/>
        </w:rPr>
        <w:t>深入实施“绿色制造工程”，创建一批绿色工厂、绿色产品、绿色园区和绿色供应链等绿色制造体系。培育一批品牌示范企业、浙江制造精品和服务型制造示范企业。</w:t>
      </w:r>
      <w:r>
        <w:rPr>
          <w:rFonts w:hint="eastAsia" w:ascii="楷体_GB2312" w:eastAsia="楷体_GB2312"/>
          <w:color w:val="000000"/>
          <w:sz w:val="32"/>
          <w:szCs w:val="18"/>
        </w:rPr>
        <w:t>（责任单位：市发改委、市经信局、市科技局、市自然资源局、市生态环境局、市应急管理局、市市场监管局、市金融办）</w:t>
      </w:r>
    </w:p>
    <w:p>
      <w:pPr>
        <w:spacing w:line="600" w:lineRule="exact"/>
        <w:ind w:firstLine="640" w:firstLineChars="200"/>
        <w:rPr>
          <w:rFonts w:ascii="楷体_GB2312" w:eastAsia="楷体_GB2312"/>
          <w:color w:val="000000"/>
          <w:sz w:val="32"/>
          <w:szCs w:val="32"/>
        </w:rPr>
      </w:pPr>
      <w:r>
        <w:rPr>
          <w:rFonts w:hint="eastAsia" w:ascii="楷体_GB2312" w:hAnsi="楷体" w:eastAsia="楷体_GB2312"/>
          <w:color w:val="000000"/>
          <w:sz w:val="32"/>
          <w:szCs w:val="18"/>
        </w:rPr>
        <w:t>（五）加快推进企业梯度培育。</w:t>
      </w:r>
      <w:r>
        <w:rPr>
          <w:rFonts w:hint="eastAsia" w:ascii="仿宋_GB2312" w:eastAsia="仿宋_GB2312"/>
          <w:color w:val="000000"/>
          <w:sz w:val="32"/>
          <w:szCs w:val="32"/>
        </w:rPr>
        <w:t>大力实施“雄鹰行动”，落实“一企一策”，打造具有较强国际竞争力的世界一流企业。到2025年，力争纳入“雄鹰行动”培育企业达到5家。深入实施“凤凰行动”，力争到2025年上市公司累计达到15家。深化实施“雏鹰行动”，建立健全中小微企业梯队培育机制，推动中小微企业“专精特新”发展，形成一批</w:t>
      </w:r>
      <w:r>
        <w:rPr>
          <w:rFonts w:hint="eastAsia" w:ascii="仿宋_GB2312" w:eastAsia="仿宋_GB2312"/>
          <w:color w:val="000000"/>
          <w:sz w:val="32"/>
          <w:szCs w:val="32"/>
          <w:lang w:eastAsia="zh-CN"/>
        </w:rPr>
        <w:t>专精特新“小巨人”</w:t>
      </w:r>
      <w:r>
        <w:rPr>
          <w:rFonts w:hint="eastAsia" w:ascii="仿宋_GB2312" w:eastAsia="仿宋_GB2312"/>
          <w:color w:val="000000"/>
          <w:sz w:val="32"/>
          <w:szCs w:val="32"/>
        </w:rPr>
        <w:t>和制造业单项冠军企业（产品），到2025年规上工业企业达到1600家，</w:t>
      </w:r>
      <w:r>
        <w:rPr>
          <w:rFonts w:hint="eastAsia" w:ascii="仿宋_GB2312" w:eastAsia="仿宋_GB2312"/>
          <w:color w:val="000000"/>
          <w:sz w:val="32"/>
          <w:szCs w:val="18"/>
        </w:rPr>
        <w:t>新增科技型小微企业1000家</w:t>
      </w:r>
      <w:r>
        <w:rPr>
          <w:rFonts w:hint="eastAsia" w:ascii="仿宋_GB2312" w:eastAsia="仿宋_GB2312"/>
          <w:color w:val="000000"/>
          <w:sz w:val="32"/>
          <w:szCs w:val="32"/>
        </w:rPr>
        <w:t>以上。</w:t>
      </w:r>
      <w:r>
        <w:rPr>
          <w:rFonts w:hint="eastAsia" w:ascii="楷体_GB2312" w:eastAsia="楷体_GB2312"/>
          <w:color w:val="000000"/>
          <w:sz w:val="32"/>
          <w:szCs w:val="32"/>
        </w:rPr>
        <w:t>（责任单位：市发改委、市经信局、市科技局、市财政局、市市场监管局、市金融办、人行丽水市中心支行）</w:t>
      </w:r>
    </w:p>
    <w:p>
      <w:pPr>
        <w:spacing w:line="600" w:lineRule="exact"/>
        <w:ind w:firstLine="640" w:firstLineChars="200"/>
        <w:rPr>
          <w:rFonts w:ascii="楷体_GB2312" w:eastAsia="楷体_GB2312"/>
          <w:color w:val="000000"/>
          <w:sz w:val="32"/>
          <w:szCs w:val="18"/>
        </w:rPr>
      </w:pPr>
      <w:r>
        <w:rPr>
          <w:rFonts w:hint="eastAsia" w:eastAsia="楷体_GB2312"/>
          <w:bCs/>
          <w:color w:val="000000"/>
          <w:sz w:val="32"/>
          <w:szCs w:val="18"/>
        </w:rPr>
        <w:t>（六）深入实施数字经济“一号工程”。</w:t>
      </w:r>
      <w:r>
        <w:rPr>
          <w:rFonts w:hint="eastAsia" w:ascii="仿宋_GB2312" w:eastAsia="仿宋_GB2312"/>
          <w:color w:val="000000"/>
          <w:sz w:val="32"/>
          <w:szCs w:val="18"/>
        </w:rPr>
        <w:t>实施数字产业化突破工程，重点建设江丰电子芯片靶材，华芯微电子晶圆片、外延片，珏芯微电子红外探测，光珀智能视觉传感器等重大项目，形成半导体全链条核心竞争力。加快5G、人工智能、工业互联网、物联网、云计算等新基建项目的投资，加强5G产业发展的顶层设计，深化IPv6规模部署，实现5G应用区域全覆盖；推进5G应用技术研究院及小基站产业化、飞利信大数据中心、京东云数据中心、优商美地等项目落地实施。加快数字赋能，实施“互联网+”行动计划，推进工艺装备、生产过程、终端产品及生产运维的数字化改造，打造一批丽水特色企业级和行业级工业互联网平台，到2025年累计实现技术改造投资500亿元以上，推广工业机器人2000 台以上，建设数字化车间/智能工厂30个以上，推动企业上云、深度用云。</w:t>
      </w:r>
      <w:r>
        <w:rPr>
          <w:rFonts w:hint="eastAsia" w:ascii="楷体_GB2312" w:eastAsia="楷体_GB2312"/>
          <w:color w:val="000000"/>
          <w:sz w:val="32"/>
          <w:szCs w:val="18"/>
        </w:rPr>
        <w:t>（责任单位：市发改委、市经信局、市应急管理局、市大数据局）</w:t>
      </w:r>
    </w:p>
    <w:p>
      <w:pPr>
        <w:spacing w:line="60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五、保障措施</w:t>
      </w:r>
    </w:p>
    <w:p>
      <w:pPr>
        <w:spacing w:line="600" w:lineRule="exact"/>
        <w:ind w:firstLine="640" w:firstLineChars="200"/>
        <w:rPr>
          <w:rFonts w:ascii="仿宋_GB2312" w:eastAsia="仿宋_GB2312"/>
          <w:color w:val="000000"/>
          <w:sz w:val="32"/>
          <w:szCs w:val="18"/>
        </w:rPr>
      </w:pPr>
      <w:r>
        <w:rPr>
          <w:rFonts w:hint="eastAsia" w:ascii="楷体_GB2312" w:hAnsi="楷体" w:eastAsia="楷体_GB2312"/>
          <w:color w:val="000000"/>
          <w:sz w:val="32"/>
          <w:szCs w:val="32"/>
        </w:rPr>
        <w:t>（一）强化组织领导。</w:t>
      </w:r>
      <w:r>
        <w:rPr>
          <w:rFonts w:hint="eastAsia" w:ascii="仿宋_GB2312" w:eastAsia="仿宋_GB2312"/>
          <w:color w:val="000000"/>
          <w:sz w:val="32"/>
          <w:szCs w:val="18"/>
        </w:rPr>
        <w:t>市本级成立由市长任组长，分管副市长为副组长，各涉工部门、财政金融部门、行政执法部门负责人等为成员的市生态工业高质量绿色发展工作领导小组，办公室设在市经信局。各地各部门要切实加强对生态工业的领导，创新生态工业高质量绿色发展的治理方式，深化开发区（工业园区）“扁平化管理、市场化运作、专业化开发”制度体系，探索“党工委（管委会）+企业化”运营模式，不断提升干部专业化能力。</w:t>
      </w:r>
    </w:p>
    <w:p>
      <w:pPr>
        <w:spacing w:line="600" w:lineRule="exact"/>
        <w:ind w:firstLine="640" w:firstLineChars="200"/>
        <w:rPr>
          <w:rFonts w:eastAsia="仿宋_GB2312"/>
          <w:color w:val="000000"/>
          <w:sz w:val="32"/>
          <w:szCs w:val="18"/>
        </w:rPr>
      </w:pPr>
      <w:r>
        <w:rPr>
          <w:rFonts w:hint="eastAsia" w:ascii="楷体_GB2312" w:eastAsia="楷体_GB2312"/>
          <w:color w:val="000000"/>
          <w:sz w:val="32"/>
          <w:szCs w:val="18"/>
        </w:rPr>
        <w:t>（二）强化分区共竞。</w:t>
      </w:r>
      <w:r>
        <w:rPr>
          <w:rFonts w:hint="eastAsia" w:eastAsia="仿宋_GB2312"/>
          <w:color w:val="000000"/>
          <w:sz w:val="32"/>
          <w:szCs w:val="18"/>
        </w:rPr>
        <w:t>按照“一带三区”产业发展布局定位，实施分区域、分梯队竞争机制，推动形成丽（即丽水开发区）缙青、遂松云、龙庆莲景三区共竞、比学赶超的良好氛围。制定生态工业高质量绿色发展分区共竞考核办法，纳入市委、市政府年度综合考核。建立监测、通报、督查、考核及约谈机制。</w:t>
      </w:r>
    </w:p>
    <w:p>
      <w:pPr>
        <w:spacing w:line="600" w:lineRule="exact"/>
        <w:ind w:firstLine="640" w:firstLineChars="200"/>
        <w:rPr>
          <w:rFonts w:eastAsia="仿宋_GB2312"/>
          <w:color w:val="000000"/>
          <w:sz w:val="32"/>
          <w:szCs w:val="18"/>
        </w:rPr>
      </w:pPr>
      <w:r>
        <w:rPr>
          <w:rFonts w:hint="eastAsia" w:ascii="楷体_GB2312" w:eastAsia="楷体_GB2312"/>
          <w:color w:val="000000"/>
          <w:sz w:val="32"/>
          <w:szCs w:val="18"/>
        </w:rPr>
        <w:t>（三）强化政策引导。</w:t>
      </w:r>
      <w:r>
        <w:rPr>
          <w:rFonts w:hint="eastAsia" w:eastAsia="仿宋_GB2312"/>
          <w:color w:val="000000"/>
          <w:sz w:val="32"/>
          <w:szCs w:val="18"/>
        </w:rPr>
        <w:t>发挥政策集成激励机制，整合制定推进生态工业高质量绿色发展的政策意见。实施产业聚焦“七个一”举措，各地要明确一个重点产业、培育一批重点企业、打造一个产业园区、建立一个技术支撑平台、谋划一批重点项目、出台一项产业政策、构建一项服务机制。发挥政策约束机制，坚持“亩均论英雄”“创新论英雄”“环保论英雄”，实施差别化用地、用能、排放等政策措施。</w:t>
      </w:r>
      <w:r>
        <w:rPr>
          <w:rFonts w:hint="eastAsia" w:eastAsia="仿宋_GB2312"/>
          <w:color w:val="000000"/>
          <w:sz w:val="32"/>
          <w:szCs w:val="32"/>
        </w:rPr>
        <w:t>实施“三线一单”管控制度，构建环境分区管控体系。全面推行建设项目进退场土壤环境第三方检测与修复制度。</w:t>
      </w:r>
    </w:p>
    <w:p>
      <w:pPr>
        <w:spacing w:line="600" w:lineRule="exact"/>
        <w:ind w:firstLine="640" w:firstLineChars="200"/>
        <w:rPr>
          <w:rFonts w:ascii="仿宋_GB2312" w:eastAsia="仿宋_GB2312"/>
          <w:color w:val="000000"/>
          <w:sz w:val="32"/>
          <w:szCs w:val="18"/>
        </w:rPr>
      </w:pPr>
      <w:r>
        <w:rPr>
          <w:rFonts w:hint="eastAsia" w:ascii="楷体_GB2312" w:eastAsia="楷体_GB2312"/>
          <w:color w:val="000000"/>
          <w:sz w:val="32"/>
          <w:szCs w:val="18"/>
        </w:rPr>
        <w:t>（四）强化要素保障。</w:t>
      </w:r>
      <w:r>
        <w:rPr>
          <w:rFonts w:hint="eastAsia" w:ascii="仿宋_GB2312" w:eastAsia="仿宋_GB2312"/>
          <w:color w:val="000000"/>
          <w:sz w:val="32"/>
          <w:szCs w:val="18"/>
        </w:rPr>
        <w:t>严格落实工业用地保障，年度新增建设用地指标优先满足重大产业类项目用地指标需求，存量工业用地盘活后形成的用地空间优先用于工业项目，鼓励采取土地弹性年期出让方式供应工业用地，到2025年累计新增工业供地面积30000亩。创新投融资新机制。深化融资畅通工程，力争制造业贷款高于各项贷款增速；做大市级生态产业基金规模；探索建立生态工业投资集团；加强政策性融资担保体系建设；提高制造业直接融资比重。深入实施科技新政26条、人才新政15条，促进人才资源与实体经济、科技创新深度融合。</w:t>
      </w:r>
    </w:p>
    <w:p>
      <w:pPr>
        <w:spacing w:line="600" w:lineRule="exact"/>
        <w:ind w:firstLine="640" w:firstLineChars="200"/>
        <w:rPr>
          <w:rFonts w:ascii="仿宋_GB2312" w:eastAsia="仿宋_GB2312"/>
          <w:color w:val="000000"/>
          <w:sz w:val="32"/>
          <w:szCs w:val="32"/>
        </w:rPr>
      </w:pPr>
      <w:r>
        <w:rPr>
          <w:rFonts w:hint="eastAsia" w:ascii="楷体_GB2312" w:eastAsia="楷体_GB2312"/>
          <w:color w:val="000000"/>
          <w:sz w:val="32"/>
          <w:szCs w:val="18"/>
        </w:rPr>
        <w:t>（五）强化企业服务。</w:t>
      </w:r>
      <w:r>
        <w:rPr>
          <w:rFonts w:hint="eastAsia" w:ascii="仿宋_GB2312" w:eastAsia="仿宋_GB2312"/>
          <w:color w:val="000000"/>
          <w:sz w:val="32"/>
          <w:szCs w:val="18"/>
        </w:rPr>
        <w:t>落实《浙江省民营企业发展促</w:t>
      </w:r>
      <w:r>
        <w:rPr>
          <w:rFonts w:hint="eastAsia" w:ascii="仿宋_GB2312" w:eastAsia="仿宋_GB2312"/>
          <w:color w:val="000000"/>
          <w:sz w:val="32"/>
          <w:szCs w:val="32"/>
        </w:rPr>
        <w:t>进条例》，深入开展优化营商环境“10+N”行动。建立健全党政领导联系企业和企业家参与涉企政策制定制度，优化政策执行方式，完善企业信用体系建设。深化降本减负工作，进一步降低企业用电、用气、用能等成本。建好企业投资项目绿色通道，实行专业化代办服务，确保一般企业投资项目审批“最多跑一次、最多80天”。深化精准服务企业“365”专项行动，建立市县一体企业服务综合平台。加大生态工业高质量绿色发展典型宣传，营造浓厚发展氛围。</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各县（市、区）、丽水开发区和市直有关部门要结合实际制定贯彻落实的政策措施，合力推进全市生态工业高质量绿色发展。</w:t>
      </w:r>
    </w:p>
    <w:p>
      <w:pPr>
        <w:spacing w:line="600" w:lineRule="exact"/>
        <w:ind w:firstLine="640" w:firstLineChars="200"/>
        <w:rPr>
          <w:rFonts w:eastAsia="仿宋_GB2312"/>
          <w:color w:val="000000"/>
          <w:sz w:val="32"/>
          <w:szCs w:val="32"/>
        </w:rPr>
      </w:pPr>
    </w:p>
    <w:p>
      <w:pPr>
        <w:spacing w:line="600" w:lineRule="exact"/>
        <w:ind w:firstLine="640" w:firstLineChars="200"/>
        <w:rPr>
          <w:rFonts w:eastAsia="仿宋_GB2312"/>
          <w:color w:val="000000"/>
          <w:sz w:val="32"/>
          <w:szCs w:val="32"/>
        </w:rPr>
        <w:sectPr>
          <w:footerReference r:id="rId3" w:type="default"/>
          <w:footerReference r:id="rId4" w:type="even"/>
          <w:pgSz w:w="11906" w:h="16838"/>
          <w:pgMar w:top="1871" w:right="1531" w:bottom="1701" w:left="1531" w:header="851" w:footer="1418" w:gutter="0"/>
          <w:cols w:space="425" w:num="1"/>
          <w:docGrid w:type="lines" w:linePitch="312" w:charSpace="0"/>
        </w:sectPr>
      </w:pPr>
      <w:r>
        <w:rPr>
          <w:rFonts w:hint="eastAsia" w:eastAsia="仿宋_GB2312"/>
          <w:color w:val="000000"/>
          <w:sz w:val="32"/>
          <w:szCs w:val="32"/>
        </w:rPr>
        <w:t>附件：丽水市生态工业高质量绿色发展倍增行动指标体系</w:t>
      </w:r>
    </w:p>
    <w:p>
      <w:pPr>
        <w:jc w:val="left"/>
        <w:rPr>
          <w:rFonts w:ascii="黑体" w:hAnsi="黑体" w:eastAsia="黑体"/>
          <w:color w:val="000000"/>
          <w:sz w:val="32"/>
          <w:szCs w:val="32"/>
        </w:rPr>
      </w:pPr>
      <w:r>
        <w:rPr>
          <w:rFonts w:hint="eastAsia" w:ascii="黑体" w:hAnsi="黑体" w:eastAsia="黑体"/>
          <w:color w:val="000000"/>
          <w:sz w:val="32"/>
          <w:szCs w:val="32"/>
        </w:rPr>
        <w:t>附件</w:t>
      </w:r>
    </w:p>
    <w:p>
      <w:pPr>
        <w:spacing w:line="0" w:lineRule="atLeast"/>
        <w:jc w:val="center"/>
        <w:rPr>
          <w:rFonts w:ascii="方正小标宋简体" w:hAnsi="宋体" w:eastAsia="方正小标宋简体" w:cs="宋体"/>
          <w:bCs/>
          <w:color w:val="000000"/>
          <w:spacing w:val="-10"/>
          <w:w w:val="90"/>
          <w:kern w:val="0"/>
          <w:sz w:val="44"/>
          <w:szCs w:val="44"/>
        </w:rPr>
      </w:pPr>
      <w:r>
        <w:rPr>
          <w:rFonts w:hint="eastAsia" w:ascii="方正小标宋简体" w:hAnsi="宋体" w:eastAsia="方正小标宋简体" w:cs="宋体"/>
          <w:bCs/>
          <w:color w:val="000000"/>
          <w:spacing w:val="-10"/>
          <w:w w:val="90"/>
          <w:kern w:val="0"/>
          <w:sz w:val="44"/>
          <w:szCs w:val="44"/>
        </w:rPr>
        <w:t xml:space="preserve"> 丽水市生态工业高质量绿色发展倍增行动指标体系</w:t>
      </w:r>
    </w:p>
    <w:tbl>
      <w:tblPr>
        <w:tblStyle w:val="6"/>
        <w:tblW w:w="963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602"/>
        <w:gridCol w:w="480"/>
        <w:gridCol w:w="3634"/>
        <w:gridCol w:w="1304"/>
        <w:gridCol w:w="1211"/>
        <w:gridCol w:w="1134"/>
        <w:gridCol w:w="126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0" w:hRule="atLeast"/>
          <w:jc w:val="center"/>
        </w:trPr>
        <w:tc>
          <w:tcPr>
            <w:tcW w:w="602" w:type="dxa"/>
            <w:vMerge w:val="restart"/>
            <w:shd w:val="clear" w:color="auto" w:fill="auto"/>
            <w:noWrap/>
            <w:vAlign w:val="center"/>
          </w:tcPr>
          <w:p>
            <w:pPr>
              <w:widowControl/>
              <w:spacing w:line="240" w:lineRule="exact"/>
              <w:jc w:val="center"/>
              <w:rPr>
                <w:rFonts w:ascii="宋体" w:hAnsi="宋体" w:cs="宋体"/>
                <w:color w:val="000000"/>
                <w:kern w:val="0"/>
                <w:szCs w:val="21"/>
              </w:rPr>
            </w:pPr>
            <w:r>
              <w:rPr>
                <w:rFonts w:hint="eastAsia" w:ascii="宋体" w:hAnsi="宋体" w:cs="宋体"/>
                <w:b/>
                <w:bCs/>
                <w:color w:val="000000"/>
                <w:kern w:val="0"/>
                <w:szCs w:val="21"/>
              </w:rPr>
              <w:t>目标</w:t>
            </w:r>
          </w:p>
        </w:tc>
        <w:tc>
          <w:tcPr>
            <w:tcW w:w="480" w:type="dxa"/>
            <w:vMerge w:val="restart"/>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b/>
                <w:bCs/>
                <w:color w:val="000000"/>
                <w:kern w:val="0"/>
                <w:szCs w:val="21"/>
              </w:rPr>
              <w:t>序号</w:t>
            </w:r>
          </w:p>
        </w:tc>
        <w:tc>
          <w:tcPr>
            <w:tcW w:w="3634" w:type="dxa"/>
            <w:vMerge w:val="restart"/>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b/>
                <w:bCs/>
                <w:color w:val="000000"/>
                <w:kern w:val="0"/>
                <w:szCs w:val="21"/>
              </w:rPr>
              <w:t>指标名称</w:t>
            </w:r>
          </w:p>
        </w:tc>
        <w:tc>
          <w:tcPr>
            <w:tcW w:w="1304" w:type="dxa"/>
            <w:vMerge w:val="restart"/>
            <w:vAlign w:val="center"/>
          </w:tcPr>
          <w:p>
            <w:pPr>
              <w:widowControl/>
              <w:spacing w:line="240" w:lineRule="exact"/>
              <w:jc w:val="center"/>
              <w:rPr>
                <w:rFonts w:ascii="宋体" w:hAnsi="宋体" w:cs="宋体"/>
                <w:b/>
                <w:bCs/>
                <w:color w:val="000000"/>
                <w:kern w:val="0"/>
                <w:szCs w:val="21"/>
              </w:rPr>
            </w:pPr>
            <w:r>
              <w:rPr>
                <w:rFonts w:hint="eastAsia" w:ascii="宋体" w:hAnsi="宋体" w:cs="宋体"/>
                <w:b/>
                <w:bCs/>
                <w:color w:val="000000"/>
                <w:kern w:val="0"/>
                <w:szCs w:val="21"/>
              </w:rPr>
              <w:t>浙江省</w:t>
            </w:r>
          </w:p>
          <w:p>
            <w:pPr>
              <w:widowControl/>
              <w:spacing w:line="240" w:lineRule="exact"/>
              <w:jc w:val="center"/>
              <w:rPr>
                <w:rFonts w:ascii="宋体" w:hAnsi="宋体" w:cs="宋体"/>
                <w:b/>
                <w:bCs/>
                <w:color w:val="000000"/>
                <w:kern w:val="0"/>
                <w:szCs w:val="21"/>
              </w:rPr>
            </w:pPr>
            <w:r>
              <w:rPr>
                <w:rFonts w:hint="eastAsia" w:ascii="宋体" w:hAnsi="宋体" w:cs="宋体"/>
                <w:b/>
                <w:bCs/>
                <w:color w:val="000000"/>
                <w:kern w:val="0"/>
                <w:szCs w:val="21"/>
              </w:rPr>
              <w:t>2019年</w:t>
            </w:r>
          </w:p>
        </w:tc>
        <w:tc>
          <w:tcPr>
            <w:tcW w:w="3611" w:type="dxa"/>
            <w:gridSpan w:val="3"/>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b/>
                <w:bCs/>
                <w:color w:val="000000"/>
                <w:kern w:val="0"/>
                <w:szCs w:val="21"/>
              </w:rPr>
              <w:t>丽水市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0" w:hRule="atLeast"/>
          <w:jc w:val="center"/>
        </w:trPr>
        <w:tc>
          <w:tcPr>
            <w:tcW w:w="602" w:type="dxa"/>
            <w:vMerge w:val="continue"/>
            <w:shd w:val="clear" w:color="auto" w:fill="auto"/>
            <w:noWrap/>
            <w:vAlign w:val="center"/>
          </w:tcPr>
          <w:p>
            <w:pPr>
              <w:widowControl/>
              <w:spacing w:line="240" w:lineRule="exact"/>
              <w:jc w:val="center"/>
              <w:rPr>
                <w:rFonts w:ascii="宋体" w:hAnsi="宋体" w:cs="宋体"/>
                <w:b/>
                <w:bCs/>
                <w:color w:val="000000"/>
                <w:kern w:val="0"/>
                <w:szCs w:val="21"/>
              </w:rPr>
            </w:pPr>
          </w:p>
        </w:tc>
        <w:tc>
          <w:tcPr>
            <w:tcW w:w="480" w:type="dxa"/>
            <w:vMerge w:val="continue"/>
            <w:shd w:val="clear" w:color="auto" w:fill="auto"/>
            <w:vAlign w:val="center"/>
          </w:tcPr>
          <w:p>
            <w:pPr>
              <w:widowControl/>
              <w:spacing w:line="240" w:lineRule="exact"/>
              <w:jc w:val="center"/>
              <w:rPr>
                <w:rFonts w:ascii="宋体" w:hAnsi="宋体" w:cs="宋体"/>
                <w:b/>
                <w:bCs/>
                <w:color w:val="000000"/>
                <w:kern w:val="0"/>
                <w:szCs w:val="21"/>
              </w:rPr>
            </w:pPr>
          </w:p>
        </w:tc>
        <w:tc>
          <w:tcPr>
            <w:tcW w:w="3634" w:type="dxa"/>
            <w:vMerge w:val="continue"/>
            <w:shd w:val="clear" w:color="auto" w:fill="auto"/>
            <w:vAlign w:val="center"/>
          </w:tcPr>
          <w:p>
            <w:pPr>
              <w:widowControl/>
              <w:spacing w:line="240" w:lineRule="exact"/>
              <w:jc w:val="center"/>
              <w:rPr>
                <w:rFonts w:ascii="宋体" w:hAnsi="宋体" w:cs="宋体"/>
                <w:b/>
                <w:bCs/>
                <w:color w:val="000000"/>
                <w:kern w:val="0"/>
                <w:szCs w:val="21"/>
              </w:rPr>
            </w:pPr>
          </w:p>
        </w:tc>
        <w:tc>
          <w:tcPr>
            <w:tcW w:w="1304" w:type="dxa"/>
            <w:vMerge w:val="continue"/>
            <w:vAlign w:val="center"/>
          </w:tcPr>
          <w:p>
            <w:pPr>
              <w:widowControl/>
              <w:spacing w:line="240" w:lineRule="exact"/>
              <w:jc w:val="center"/>
              <w:rPr>
                <w:rFonts w:ascii="宋体" w:hAnsi="宋体" w:cs="宋体"/>
                <w:b/>
                <w:bCs/>
                <w:color w:val="000000"/>
                <w:kern w:val="0"/>
                <w:szCs w:val="21"/>
              </w:rPr>
            </w:pPr>
          </w:p>
        </w:tc>
        <w:tc>
          <w:tcPr>
            <w:tcW w:w="1211" w:type="dxa"/>
            <w:shd w:val="clear" w:color="auto" w:fill="auto"/>
            <w:vAlign w:val="center"/>
          </w:tcPr>
          <w:p>
            <w:pPr>
              <w:widowControl/>
              <w:spacing w:line="240" w:lineRule="exact"/>
              <w:jc w:val="center"/>
              <w:rPr>
                <w:rFonts w:ascii="宋体" w:hAnsi="宋体" w:cs="宋体"/>
                <w:b/>
                <w:bCs/>
                <w:color w:val="000000"/>
                <w:kern w:val="0"/>
                <w:szCs w:val="21"/>
              </w:rPr>
            </w:pPr>
            <w:r>
              <w:rPr>
                <w:rFonts w:hint="eastAsia" w:ascii="宋体" w:hAnsi="宋体" w:cs="宋体"/>
                <w:b/>
                <w:bCs/>
                <w:color w:val="000000"/>
                <w:kern w:val="0"/>
                <w:szCs w:val="21"/>
              </w:rPr>
              <w:t>2019年</w:t>
            </w:r>
          </w:p>
        </w:tc>
        <w:tc>
          <w:tcPr>
            <w:tcW w:w="1134" w:type="dxa"/>
            <w:shd w:val="clear" w:color="auto" w:fill="auto"/>
            <w:vAlign w:val="center"/>
          </w:tcPr>
          <w:p>
            <w:pPr>
              <w:widowControl/>
              <w:spacing w:line="240" w:lineRule="exact"/>
              <w:jc w:val="center"/>
              <w:rPr>
                <w:rFonts w:ascii="宋体" w:hAnsi="宋体" w:cs="宋体"/>
                <w:b/>
                <w:bCs/>
                <w:color w:val="000000"/>
                <w:kern w:val="0"/>
                <w:szCs w:val="21"/>
              </w:rPr>
            </w:pPr>
            <w:r>
              <w:rPr>
                <w:rFonts w:hint="eastAsia" w:ascii="宋体" w:hAnsi="宋体" w:cs="宋体"/>
                <w:b/>
                <w:bCs/>
                <w:color w:val="000000"/>
                <w:kern w:val="0"/>
                <w:szCs w:val="21"/>
              </w:rPr>
              <w:t>2025年</w:t>
            </w:r>
          </w:p>
        </w:tc>
        <w:tc>
          <w:tcPr>
            <w:tcW w:w="1266" w:type="dxa"/>
            <w:vAlign w:val="center"/>
          </w:tcPr>
          <w:p>
            <w:pPr>
              <w:widowControl/>
              <w:spacing w:line="240" w:lineRule="exact"/>
              <w:jc w:val="center"/>
              <w:rPr>
                <w:rFonts w:ascii="宋体" w:hAnsi="宋体" w:cs="宋体"/>
                <w:b/>
                <w:bCs/>
                <w:color w:val="000000"/>
                <w:kern w:val="0"/>
                <w:szCs w:val="21"/>
              </w:rPr>
            </w:pPr>
            <w:r>
              <w:rPr>
                <w:rFonts w:hint="eastAsia" w:ascii="宋体" w:hAnsi="宋体" w:cs="宋体"/>
                <w:b/>
                <w:bCs/>
                <w:color w:val="000000"/>
                <w:kern w:val="0"/>
                <w:szCs w:val="21"/>
              </w:rPr>
              <w:t>年均增长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restart"/>
            <w:shd w:val="clear" w:color="auto" w:fill="auto"/>
            <w:noWrap/>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五个倍增</w:t>
            </w: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规上工业产值（增加值）（亿元）</w:t>
            </w:r>
            <w:r>
              <w:rPr>
                <w:rFonts w:hint="eastAsia" w:ascii="宋体" w:hAnsi="宋体" w:cs="宋体"/>
                <w:bCs/>
                <w:color w:val="000000"/>
                <w:kern w:val="0"/>
                <w:szCs w:val="21"/>
                <w:vertAlign w:val="superscript"/>
              </w:rPr>
              <w:t>①</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72872</w:t>
            </w:r>
          </w:p>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1615</w:t>
            </w:r>
            <w:r>
              <w:rPr>
                <w:rFonts w:hint="eastAsia" w:ascii="宋体" w:hAnsi="宋体" w:cs="宋体"/>
                <w:color w:val="000000"/>
                <w:kern w:val="0"/>
                <w:szCs w:val="21"/>
              </w:rPr>
              <w:t>7）</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1400</w:t>
            </w:r>
          </w:p>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（290）</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2800</w:t>
            </w:r>
          </w:p>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（600）</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10%以上</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规上工业研发费用（亿元）</w:t>
            </w:r>
          </w:p>
        </w:tc>
        <w:tc>
          <w:tcPr>
            <w:tcW w:w="1304" w:type="dxa"/>
            <w:vAlign w:val="center"/>
          </w:tcPr>
          <w:p>
            <w:pPr>
              <w:widowControl/>
              <w:spacing w:line="240" w:lineRule="exact"/>
              <w:jc w:val="center"/>
              <w:rPr>
                <w:rFonts w:ascii="宋体" w:hAnsi="宋体" w:cs="宋体"/>
                <w:color w:val="000000"/>
                <w:kern w:val="0"/>
                <w:szCs w:val="21"/>
              </w:rPr>
            </w:pPr>
            <w:r>
              <w:rPr>
                <w:rFonts w:ascii="宋体" w:hAnsi="宋体" w:cs="宋体"/>
                <w:color w:val="000000"/>
                <w:kern w:val="0"/>
                <w:szCs w:val="21"/>
              </w:rPr>
              <w:t>1697</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32.5</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80</w:t>
            </w:r>
          </w:p>
        </w:tc>
        <w:tc>
          <w:tcPr>
            <w:tcW w:w="1266" w:type="dxa"/>
            <w:vAlign w:val="center"/>
          </w:tcPr>
          <w:p>
            <w:pPr>
              <w:spacing w:line="240" w:lineRule="exact"/>
              <w:jc w:val="center"/>
              <w:rPr>
                <w:rFonts w:ascii="Calibri" w:hAnsi="Calibri"/>
                <w:color w:val="000000"/>
                <w:szCs w:val="22"/>
              </w:rPr>
            </w:pPr>
            <w:r>
              <w:rPr>
                <w:rFonts w:hint="eastAsia" w:ascii="宋体" w:hAnsi="宋体" w:cs="宋体"/>
                <w:color w:val="000000"/>
                <w:kern w:val="0"/>
                <w:szCs w:val="21"/>
              </w:rPr>
              <w:t>15%以上</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规上工业亩均增加值（万元/亩）</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122</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94</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150</w:t>
            </w:r>
            <w:r>
              <w:rPr>
                <w:rFonts w:hint="eastAsia" w:ascii="宋体" w:hAnsi="宋体" w:cs="宋体"/>
                <w:color w:val="000000"/>
                <w:kern w:val="0"/>
                <w:szCs w:val="21"/>
                <w:vertAlign w:val="superscript"/>
              </w:rPr>
              <w:t>②</w:t>
            </w:r>
          </w:p>
        </w:tc>
        <w:tc>
          <w:tcPr>
            <w:tcW w:w="1266" w:type="dxa"/>
            <w:vAlign w:val="center"/>
          </w:tcPr>
          <w:p>
            <w:pPr>
              <w:spacing w:line="240" w:lineRule="exact"/>
              <w:jc w:val="center"/>
              <w:rPr>
                <w:rFonts w:ascii="Calibri" w:hAnsi="Calibri"/>
                <w:color w:val="000000"/>
                <w:szCs w:val="22"/>
              </w:rPr>
            </w:pPr>
            <w:r>
              <w:rPr>
                <w:rFonts w:hint="eastAsia" w:ascii="宋体" w:hAnsi="宋体" w:cs="宋体"/>
                <w:color w:val="000000"/>
                <w:kern w:val="0"/>
                <w:szCs w:val="21"/>
              </w:rPr>
              <w:t>10%以上</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4</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规上工业亩均税收（万元/亩）</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30.5</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16</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30</w:t>
            </w:r>
          </w:p>
        </w:tc>
        <w:tc>
          <w:tcPr>
            <w:tcW w:w="1266" w:type="dxa"/>
            <w:vAlign w:val="center"/>
          </w:tcPr>
          <w:p>
            <w:pPr>
              <w:spacing w:line="240" w:lineRule="exact"/>
              <w:jc w:val="center"/>
              <w:rPr>
                <w:rFonts w:ascii="Calibri" w:hAnsi="Calibri"/>
                <w:color w:val="000000"/>
                <w:szCs w:val="22"/>
              </w:rPr>
            </w:pPr>
            <w:r>
              <w:rPr>
                <w:rFonts w:hint="eastAsia" w:ascii="宋体" w:hAnsi="宋体" w:cs="宋体"/>
                <w:color w:val="000000"/>
                <w:kern w:val="0"/>
                <w:szCs w:val="21"/>
              </w:rPr>
              <w:t>10%以上</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5</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工业投资额（亿元）</w:t>
            </w:r>
          </w:p>
        </w:tc>
        <w:tc>
          <w:tcPr>
            <w:tcW w:w="1304" w:type="dxa"/>
            <w:vAlign w:val="center"/>
          </w:tcPr>
          <w:p>
            <w:pPr>
              <w:widowControl/>
              <w:spacing w:line="240" w:lineRule="exact"/>
              <w:jc w:val="center"/>
              <w:rPr>
                <w:rFonts w:ascii="宋体" w:hAnsi="宋体" w:cs="宋体"/>
                <w:color w:val="000000"/>
                <w:kern w:val="0"/>
                <w:szCs w:val="21"/>
              </w:rPr>
            </w:pPr>
            <w:r>
              <w:rPr>
                <w:rFonts w:ascii="宋体" w:hAnsi="宋体" w:cs="宋体"/>
                <w:color w:val="000000"/>
                <w:kern w:val="0"/>
                <w:szCs w:val="21"/>
              </w:rPr>
              <w:t>5055</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144</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300</w:t>
            </w:r>
          </w:p>
        </w:tc>
        <w:tc>
          <w:tcPr>
            <w:tcW w:w="1266" w:type="dxa"/>
            <w:vAlign w:val="center"/>
          </w:tcPr>
          <w:p>
            <w:pPr>
              <w:spacing w:line="240" w:lineRule="exact"/>
              <w:jc w:val="center"/>
              <w:rPr>
                <w:rFonts w:ascii="Calibri" w:hAnsi="Calibri"/>
                <w:color w:val="000000"/>
                <w:szCs w:val="22"/>
              </w:rPr>
            </w:pPr>
            <w:r>
              <w:rPr>
                <w:rFonts w:hint="eastAsia" w:ascii="宋体" w:hAnsi="宋体" w:cs="宋体"/>
                <w:color w:val="000000"/>
                <w:kern w:val="0"/>
                <w:szCs w:val="21"/>
              </w:rPr>
              <w:t>12%以上</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restart"/>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十个显著提升</w:t>
            </w: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6</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工业增加值占GDP比重（%）</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36.5</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30.8</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33.3</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0.5</w:t>
            </w:r>
            <w:r>
              <w:rPr>
                <w:rFonts w:hint="eastAsia" w:ascii="宋体" w:hAnsi="宋体" w:cs="宋体"/>
                <w:color w:val="000000"/>
                <w:kern w:val="0"/>
                <w:szCs w:val="21"/>
                <w:vertAlign w:val="superscript"/>
              </w:rPr>
              <w:t>③</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7</w:t>
            </w:r>
          </w:p>
        </w:tc>
        <w:tc>
          <w:tcPr>
            <w:tcW w:w="3634" w:type="dxa"/>
            <w:shd w:val="clear" w:color="auto" w:fill="auto"/>
            <w:vAlign w:val="center"/>
          </w:tcPr>
          <w:p>
            <w:pPr>
              <w:widowControl/>
              <w:spacing w:line="240" w:lineRule="exact"/>
              <w:jc w:val="left"/>
              <w:rPr>
                <w:rFonts w:ascii="宋体" w:hAnsi="宋体" w:cs="宋体"/>
                <w:color w:val="000000"/>
                <w:spacing w:val="-12"/>
                <w:kern w:val="0"/>
                <w:szCs w:val="21"/>
              </w:rPr>
            </w:pPr>
            <w:r>
              <w:rPr>
                <w:rFonts w:hint="eastAsia" w:ascii="宋体" w:hAnsi="宋体" w:cs="宋体"/>
                <w:color w:val="000000"/>
                <w:spacing w:val="-12"/>
                <w:kern w:val="0"/>
                <w:szCs w:val="21"/>
              </w:rPr>
              <w:t>数字经济核心产业增加值占</w:t>
            </w:r>
            <w:r>
              <w:rPr>
                <w:rFonts w:ascii="宋体" w:hAnsi="宋体" w:cs="宋体"/>
                <w:color w:val="000000"/>
                <w:spacing w:val="-12"/>
                <w:kern w:val="0"/>
                <w:szCs w:val="21"/>
              </w:rPr>
              <w:t>GDP比重（%）</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10.0</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2.8</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5</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8</w:t>
            </w:r>
          </w:p>
        </w:tc>
        <w:tc>
          <w:tcPr>
            <w:tcW w:w="3634" w:type="dxa"/>
            <w:shd w:val="clear" w:color="auto" w:fill="auto"/>
            <w:vAlign w:val="center"/>
          </w:tcPr>
          <w:p>
            <w:pPr>
              <w:widowControl/>
              <w:spacing w:line="240" w:lineRule="exact"/>
              <w:jc w:val="left"/>
              <w:rPr>
                <w:rFonts w:ascii="宋体" w:hAnsi="宋体" w:cs="宋体"/>
                <w:color w:val="000000"/>
                <w:spacing w:val="-4"/>
                <w:kern w:val="0"/>
                <w:szCs w:val="21"/>
              </w:rPr>
            </w:pPr>
            <w:r>
              <w:rPr>
                <w:rFonts w:ascii="宋体" w:hAnsi="宋体" w:cs="宋体"/>
                <w:color w:val="000000"/>
                <w:spacing w:val="-4"/>
                <w:kern w:val="0"/>
                <w:szCs w:val="21"/>
              </w:rPr>
              <w:t>R&amp;D经费支出占地区生产总值比重（%）</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2.6</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1.7</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9</w:t>
            </w:r>
          </w:p>
        </w:tc>
        <w:tc>
          <w:tcPr>
            <w:tcW w:w="3634" w:type="dxa"/>
            <w:shd w:val="clear" w:color="auto" w:fill="auto"/>
            <w:vAlign w:val="center"/>
          </w:tcPr>
          <w:p>
            <w:pPr>
              <w:widowControl/>
              <w:spacing w:line="240" w:lineRule="exact"/>
              <w:jc w:val="left"/>
              <w:rPr>
                <w:rFonts w:ascii="宋体" w:hAnsi="宋体" w:cs="宋体"/>
                <w:color w:val="000000"/>
                <w:spacing w:val="-12"/>
                <w:kern w:val="0"/>
                <w:szCs w:val="21"/>
              </w:rPr>
            </w:pPr>
            <w:r>
              <w:rPr>
                <w:rFonts w:hint="eastAsia" w:ascii="宋体" w:hAnsi="宋体" w:cs="宋体"/>
                <w:color w:val="000000"/>
                <w:spacing w:val="-12"/>
                <w:kern w:val="0"/>
                <w:szCs w:val="21"/>
              </w:rPr>
              <w:t>高新技术产业增加值占规上工业比重（</w:t>
            </w:r>
            <w:r>
              <w:rPr>
                <w:rFonts w:ascii="宋体" w:hAnsi="宋体" w:cs="宋体"/>
                <w:color w:val="000000"/>
                <w:spacing w:val="-12"/>
                <w:kern w:val="0"/>
                <w:szCs w:val="21"/>
              </w:rPr>
              <w:t>%）</w:t>
            </w:r>
          </w:p>
        </w:tc>
        <w:tc>
          <w:tcPr>
            <w:tcW w:w="1304" w:type="dxa"/>
            <w:vAlign w:val="center"/>
          </w:tcPr>
          <w:p>
            <w:pPr>
              <w:widowControl/>
              <w:spacing w:line="240" w:lineRule="exact"/>
              <w:jc w:val="center"/>
              <w:rPr>
                <w:rFonts w:ascii="宋体" w:hAnsi="宋体" w:cs="宋体"/>
                <w:color w:val="000000"/>
                <w:kern w:val="0"/>
                <w:szCs w:val="21"/>
              </w:rPr>
            </w:pPr>
            <w:r>
              <w:rPr>
                <w:rFonts w:ascii="宋体" w:hAnsi="宋体" w:cs="宋体"/>
                <w:color w:val="000000"/>
                <w:kern w:val="0"/>
                <w:szCs w:val="21"/>
              </w:rPr>
              <w:t>54.5</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36.6</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40</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10</w:t>
            </w:r>
          </w:p>
        </w:tc>
        <w:tc>
          <w:tcPr>
            <w:tcW w:w="3634" w:type="dxa"/>
            <w:shd w:val="clear" w:color="auto" w:fill="auto"/>
            <w:vAlign w:val="center"/>
          </w:tcPr>
          <w:p>
            <w:pPr>
              <w:widowControl/>
              <w:spacing w:line="240" w:lineRule="exact"/>
              <w:jc w:val="left"/>
              <w:rPr>
                <w:rFonts w:ascii="宋体" w:hAnsi="宋体" w:cs="宋体"/>
                <w:color w:val="000000"/>
                <w:spacing w:val="-14"/>
                <w:kern w:val="0"/>
                <w:szCs w:val="21"/>
              </w:rPr>
            </w:pPr>
            <w:r>
              <w:rPr>
                <w:rFonts w:hint="eastAsia" w:ascii="宋体" w:hAnsi="宋体" w:cs="宋体"/>
                <w:color w:val="000000"/>
                <w:spacing w:val="-14"/>
                <w:kern w:val="0"/>
                <w:szCs w:val="21"/>
              </w:rPr>
              <w:t>战略性新兴产业增加值占规上工业比重（</w:t>
            </w:r>
            <w:r>
              <w:rPr>
                <w:rFonts w:ascii="宋体" w:hAnsi="宋体" w:cs="宋体"/>
                <w:color w:val="000000"/>
                <w:spacing w:val="-14"/>
                <w:kern w:val="0"/>
                <w:szCs w:val="21"/>
              </w:rPr>
              <w:t>%）</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31.1</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18</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21</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11</w:t>
            </w:r>
          </w:p>
        </w:tc>
        <w:tc>
          <w:tcPr>
            <w:tcW w:w="3634" w:type="dxa"/>
            <w:shd w:val="clear" w:color="auto" w:fill="auto"/>
            <w:vAlign w:val="center"/>
          </w:tcPr>
          <w:p>
            <w:pPr>
              <w:widowControl/>
              <w:spacing w:line="240" w:lineRule="exact"/>
              <w:jc w:val="left"/>
              <w:rPr>
                <w:rFonts w:ascii="宋体" w:hAnsi="宋体" w:cs="宋体"/>
                <w:color w:val="000000"/>
                <w:spacing w:val="-8"/>
                <w:kern w:val="0"/>
                <w:szCs w:val="21"/>
              </w:rPr>
            </w:pPr>
            <w:r>
              <w:rPr>
                <w:rFonts w:hint="eastAsia" w:ascii="宋体" w:hAnsi="宋体" w:cs="宋体"/>
                <w:color w:val="000000"/>
                <w:spacing w:val="-8"/>
                <w:kern w:val="0"/>
                <w:szCs w:val="21"/>
              </w:rPr>
              <w:t>装备制造业增加值占规上工业比重（</w:t>
            </w:r>
            <w:r>
              <w:rPr>
                <w:rFonts w:ascii="宋体" w:hAnsi="宋体" w:cs="宋体"/>
                <w:color w:val="000000"/>
                <w:spacing w:val="-8"/>
                <w:kern w:val="0"/>
                <w:szCs w:val="21"/>
              </w:rPr>
              <w:t>%）</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40.9</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25.9</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29</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12</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规上工业全员劳动生产率（万元/人）</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24.7</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20.5</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30</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13</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规上工业主营业务收入利润率（%）</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6.4</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6.3</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7</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14</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规上工业增加值率（%）</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22.2</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20.6</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23</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15</w:t>
            </w:r>
          </w:p>
        </w:tc>
        <w:tc>
          <w:tcPr>
            <w:tcW w:w="3634" w:type="dxa"/>
            <w:shd w:val="clear" w:color="auto" w:fill="auto"/>
            <w:vAlign w:val="center"/>
          </w:tcPr>
          <w:p>
            <w:pPr>
              <w:widowControl/>
              <w:spacing w:line="240" w:lineRule="exact"/>
              <w:jc w:val="left"/>
              <w:rPr>
                <w:rFonts w:ascii="宋体" w:hAnsi="宋体" w:cs="宋体"/>
                <w:color w:val="000000"/>
                <w:spacing w:val="-16"/>
                <w:kern w:val="0"/>
                <w:szCs w:val="21"/>
              </w:rPr>
            </w:pPr>
            <w:r>
              <w:rPr>
                <w:rFonts w:hint="eastAsia" w:ascii="宋体" w:hAnsi="宋体" w:cs="宋体"/>
                <w:color w:val="000000"/>
                <w:spacing w:val="-16"/>
                <w:kern w:val="0"/>
                <w:szCs w:val="21"/>
              </w:rPr>
              <w:t>园区规上工业产值占全市规上工业比重（</w:t>
            </w:r>
            <w:r>
              <w:rPr>
                <w:rFonts w:ascii="宋体" w:hAnsi="宋体" w:cs="宋体"/>
                <w:color w:val="000000"/>
                <w:spacing w:val="-16"/>
                <w:kern w:val="0"/>
                <w:szCs w:val="21"/>
              </w:rPr>
              <w:t>%）</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74.7</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80</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restart"/>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五个快速壮大</w:t>
            </w: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16</w:t>
            </w:r>
          </w:p>
        </w:tc>
        <w:tc>
          <w:tcPr>
            <w:tcW w:w="3634" w:type="dxa"/>
            <w:shd w:val="clear" w:color="auto" w:fill="auto"/>
            <w:vAlign w:val="center"/>
          </w:tcPr>
          <w:p>
            <w:pPr>
              <w:widowControl/>
              <w:spacing w:line="240" w:lineRule="exact"/>
              <w:jc w:val="left"/>
              <w:rPr>
                <w:rFonts w:ascii="宋体" w:hAnsi="宋体" w:cs="宋体"/>
                <w:color w:val="000000"/>
                <w:spacing w:val="-20"/>
                <w:kern w:val="0"/>
                <w:szCs w:val="21"/>
              </w:rPr>
            </w:pPr>
            <w:r>
              <w:rPr>
                <w:rFonts w:hint="eastAsia" w:ascii="宋体" w:hAnsi="宋体" w:cs="宋体"/>
                <w:color w:val="000000"/>
                <w:spacing w:val="-20"/>
                <w:kern w:val="0"/>
                <w:szCs w:val="21"/>
              </w:rPr>
              <w:t>主营业务收入百亿元以上企业（集团）（家）</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51</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5</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w:t>
            </w:r>
            <w:r>
              <w:rPr>
                <w:rFonts w:hint="eastAsia" w:ascii="宋体" w:hAnsi="宋体" w:cs="宋体"/>
                <w:color w:val="000000"/>
                <w:kern w:val="0"/>
                <w:szCs w:val="21"/>
                <w:vertAlign w:val="superscript"/>
              </w:rPr>
              <w:t>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17</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主营业务收入亿元以上企业（家）</w:t>
            </w:r>
          </w:p>
        </w:tc>
        <w:tc>
          <w:tcPr>
            <w:tcW w:w="1304" w:type="dxa"/>
            <w:vAlign w:val="center"/>
          </w:tcPr>
          <w:p>
            <w:pPr>
              <w:widowControl/>
              <w:spacing w:line="240" w:lineRule="exact"/>
              <w:jc w:val="center"/>
              <w:rPr>
                <w:rFonts w:ascii="宋体" w:hAnsi="宋体" w:cs="宋体"/>
                <w:color w:val="000000"/>
                <w:kern w:val="0"/>
                <w:szCs w:val="21"/>
              </w:rPr>
            </w:pPr>
            <w:r>
              <w:rPr>
                <w:rFonts w:ascii="宋体" w:hAnsi="宋体" w:cs="宋体"/>
                <w:color w:val="000000"/>
                <w:kern w:val="0"/>
                <w:szCs w:val="21"/>
              </w:rPr>
              <w:t>10240</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281</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500</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【219】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18</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规上工业企业（家）</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43873</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1020</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1600</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【580】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19</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高新技术企业（家）</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16316</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353</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600</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【247】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20</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上市公司（不含新三板）(家)</w:t>
            </w:r>
            <w:r>
              <w:rPr>
                <w:rFonts w:hint="eastAsia" w:ascii="宋体" w:hAnsi="宋体" w:cs="宋体"/>
                <w:color w:val="000000"/>
                <w:kern w:val="0"/>
                <w:szCs w:val="21"/>
                <w:vertAlign w:val="superscript"/>
              </w:rPr>
              <w:t xml:space="preserve"> </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578</w:t>
            </w:r>
            <w:r>
              <w:rPr>
                <w:rFonts w:hint="eastAsia" w:ascii="宋体" w:hAnsi="宋体" w:cs="宋体"/>
                <w:color w:val="000000"/>
                <w:kern w:val="0"/>
                <w:szCs w:val="21"/>
                <w:vertAlign w:val="superscript"/>
              </w:rPr>
              <w:t>⑤</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5</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15</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restart"/>
            <w:shd w:val="clear" w:color="auto" w:fill="auto"/>
            <w:noWrap/>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21</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单位生产总值能耗（吨标煤/万元）</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0.39</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0.34</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保持全省领先水平</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22</w:t>
            </w:r>
          </w:p>
        </w:tc>
        <w:tc>
          <w:tcPr>
            <w:tcW w:w="3634" w:type="dxa"/>
            <w:shd w:val="clear" w:color="auto" w:fill="auto"/>
            <w:vAlign w:val="center"/>
          </w:tcPr>
          <w:p>
            <w:pPr>
              <w:widowControl/>
              <w:spacing w:line="240" w:lineRule="exact"/>
              <w:jc w:val="left"/>
              <w:rPr>
                <w:rFonts w:ascii="宋体" w:hAnsi="宋体" w:cs="宋体"/>
                <w:color w:val="000000"/>
                <w:spacing w:val="-6"/>
                <w:kern w:val="0"/>
                <w:szCs w:val="21"/>
              </w:rPr>
            </w:pPr>
            <w:r>
              <w:rPr>
                <w:rFonts w:hint="eastAsia" w:ascii="宋体" w:hAnsi="宋体" w:cs="宋体"/>
                <w:color w:val="000000"/>
                <w:spacing w:val="-6"/>
                <w:kern w:val="0"/>
                <w:szCs w:val="21"/>
              </w:rPr>
              <w:t>单位工业增加值用水量（立方米</w:t>
            </w:r>
            <w:r>
              <w:rPr>
                <w:rFonts w:ascii="宋体" w:hAnsi="宋体" w:cs="宋体"/>
                <w:color w:val="000000"/>
                <w:spacing w:val="-6"/>
                <w:kern w:val="0"/>
                <w:szCs w:val="21"/>
              </w:rPr>
              <w:t>/万元）</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17.87</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18.06</w:t>
            </w:r>
          </w:p>
        </w:tc>
        <w:tc>
          <w:tcPr>
            <w:tcW w:w="1134"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＜20</w:t>
            </w:r>
          </w:p>
        </w:tc>
        <w:tc>
          <w:tcPr>
            <w:tcW w:w="1266" w:type="dxa"/>
            <w:noWrap/>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02" w:type="dxa"/>
            <w:vMerge w:val="continue"/>
            <w:vAlign w:val="center"/>
          </w:tcPr>
          <w:p>
            <w:pPr>
              <w:widowControl/>
              <w:spacing w:line="240" w:lineRule="exact"/>
              <w:jc w:val="center"/>
              <w:rPr>
                <w:rFonts w:ascii="宋体" w:hAnsi="宋体" w:cs="宋体"/>
                <w:color w:val="000000"/>
                <w:kern w:val="0"/>
                <w:szCs w:val="21"/>
              </w:rPr>
            </w:pPr>
          </w:p>
        </w:tc>
        <w:tc>
          <w:tcPr>
            <w:tcW w:w="480"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23</w:t>
            </w:r>
          </w:p>
        </w:tc>
        <w:tc>
          <w:tcPr>
            <w:tcW w:w="3634" w:type="dxa"/>
            <w:shd w:val="clear" w:color="auto" w:fill="auto"/>
            <w:vAlign w:val="center"/>
          </w:tcPr>
          <w:p>
            <w:pPr>
              <w:widowControl/>
              <w:spacing w:line="240" w:lineRule="exact"/>
              <w:jc w:val="left"/>
              <w:rPr>
                <w:rFonts w:ascii="宋体" w:hAnsi="宋体" w:cs="宋体"/>
                <w:color w:val="000000"/>
                <w:kern w:val="0"/>
                <w:szCs w:val="21"/>
              </w:rPr>
            </w:pPr>
            <w:r>
              <w:rPr>
                <w:rFonts w:hint="eastAsia" w:ascii="宋体" w:hAnsi="宋体" w:cs="宋体"/>
                <w:color w:val="000000"/>
                <w:kern w:val="0"/>
                <w:szCs w:val="21"/>
              </w:rPr>
              <w:t>工业固体废物处置利用率（%）</w:t>
            </w:r>
          </w:p>
        </w:tc>
        <w:tc>
          <w:tcPr>
            <w:tcW w:w="130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92.1</w:t>
            </w:r>
          </w:p>
        </w:tc>
        <w:tc>
          <w:tcPr>
            <w:tcW w:w="1211" w:type="dxa"/>
            <w:shd w:val="clear" w:color="auto" w:fill="auto"/>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92.1</w:t>
            </w:r>
            <w:r>
              <w:rPr>
                <w:rFonts w:ascii="宋体" w:hAnsi="宋体" w:cs="宋体"/>
                <w:color w:val="000000"/>
                <w:kern w:val="0"/>
                <w:szCs w:val="21"/>
                <w:vertAlign w:val="superscript"/>
              </w:rPr>
              <w:t>⑥</w:t>
            </w:r>
          </w:p>
        </w:tc>
        <w:tc>
          <w:tcPr>
            <w:tcW w:w="1134" w:type="dxa"/>
            <w:shd w:val="clear" w:color="auto" w:fill="auto"/>
            <w:noWrap/>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99</w:t>
            </w:r>
          </w:p>
        </w:tc>
        <w:tc>
          <w:tcPr>
            <w:tcW w:w="1266"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w:t>
            </w:r>
          </w:p>
        </w:tc>
      </w:tr>
    </w:tbl>
    <w:p>
      <w:pPr>
        <w:ind w:left="420" w:hanging="420" w:hangingChars="200"/>
        <w:jc w:val="left"/>
      </w:pPr>
      <w:r>
        <w:rPr>
          <w:rFonts w:hint="eastAsia" w:ascii="宋体" w:hAnsi="宋体" w:cs="Calibri"/>
          <w:color w:val="000000"/>
          <w:kern w:val="0"/>
          <w:szCs w:val="21"/>
        </w:rPr>
        <w:t>注：①涉及统计局的按统计快报取数，下同；②按全省平均水平控制；③指每年提高0.5个百分点，下同；④【】内的数据为2020-2025年累计数；⑤境内外上市公司数；</w:t>
      </w:r>
      <w:r>
        <w:rPr>
          <w:rFonts w:ascii="宋体" w:hAnsi="宋体" w:cs="Calibri"/>
          <w:color w:val="000000"/>
          <w:kern w:val="0"/>
          <w:szCs w:val="21"/>
        </w:rPr>
        <w:t>⑥</w:t>
      </w:r>
      <w:r>
        <w:rPr>
          <w:rFonts w:hint="eastAsia" w:ascii="宋体" w:hAnsi="宋体" w:cs="Calibri"/>
          <w:color w:val="000000"/>
          <w:kern w:val="0"/>
          <w:szCs w:val="21"/>
        </w:rPr>
        <w:t>参照全省指标。</w:t>
      </w:r>
    </w:p>
    <w:p>
      <w:pPr>
        <w:widowControl/>
        <w:jc w:val="left"/>
      </w:pPr>
      <w:r>
        <w:br w:type="page"/>
      </w: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600" w:lineRule="exact"/>
        <w:ind w:firstLine="280" w:firstLineChars="100"/>
        <w:rPr>
          <w:rFonts w:ascii="仿宋_GB2312" w:eastAsia="仿宋_GB2312"/>
          <w:color w:val="000000"/>
          <w:sz w:val="28"/>
          <w:szCs w:val="28"/>
        </w:rPr>
      </w:pPr>
      <w:r>
        <w:rPr>
          <w:rFonts w:ascii="仿宋_GB2312" w:eastAsia="仿宋_GB2312"/>
          <w:sz w:val="28"/>
          <w:szCs w:val="28"/>
        </w:rPr>
        <w:pict>
          <v:line id="_x0000_s1027" o:spid="_x0000_s1027" o:spt="20" style="position:absolute;left:0pt;margin-left:0pt;margin-top:2.25pt;height:0pt;width:449pt;z-index:251660288;mso-width-relative:page;mso-height-relative:page;" coordsize="21600,21600">
            <v:path arrowok="t"/>
            <v:fill focussize="0,0"/>
            <v:stroke weight="1.25pt"/>
            <v:imagedata o:title=""/>
            <o:lock v:ext="edit"/>
          </v:line>
        </w:pict>
      </w:r>
      <w:r>
        <w:rPr>
          <w:rFonts w:ascii="仿宋_GB2312" w:eastAsia="仿宋_GB2312"/>
          <w:sz w:val="28"/>
          <w:szCs w:val="28"/>
        </w:rPr>
        <w:pict>
          <v:line id="_x0000_s1026" o:spid="_x0000_s1026" o:spt="20" style="position:absolute;left:0pt;margin-left:-0.75pt;margin-top:36.9pt;height:0pt;width:449pt;z-index:251659264;mso-width-relative:page;mso-height-relative:page;" coordsize="21600,21600">
            <v:path arrowok="t"/>
            <v:fill focussize="0,0"/>
            <v:stroke weight="1.25pt"/>
            <v:imagedata o:title=""/>
            <o:lock v:ext="edit"/>
          </v:line>
        </w:pict>
      </w:r>
      <w:r>
        <w:rPr>
          <w:rFonts w:hint="eastAsia" w:ascii="仿宋_GB2312" w:eastAsia="仿宋_GB2312"/>
          <w:spacing w:val="17"/>
          <w:kern w:val="0"/>
          <w:sz w:val="28"/>
          <w:szCs w:val="28"/>
          <w:fitText w:val="2800" w:id="-2036601856"/>
        </w:rPr>
        <w:t>中共丽水市委办公</w:t>
      </w:r>
      <w:r>
        <w:rPr>
          <w:rFonts w:hint="eastAsia" w:ascii="仿宋_GB2312" w:eastAsia="仿宋_GB2312"/>
          <w:spacing w:val="4"/>
          <w:kern w:val="0"/>
          <w:sz w:val="28"/>
          <w:szCs w:val="28"/>
          <w:fitText w:val="2800" w:id="-2036601856"/>
        </w:rPr>
        <w:t>室</w:t>
      </w:r>
      <w:r>
        <w:rPr>
          <w:rFonts w:hint="eastAsia" w:ascii="仿宋_GB2312" w:eastAsia="仿宋_GB2312"/>
          <w:kern w:val="0"/>
          <w:sz w:val="28"/>
          <w:szCs w:val="28"/>
        </w:rPr>
        <w:t xml:space="preserve"> </w:t>
      </w:r>
      <w:r>
        <w:rPr>
          <w:rFonts w:hint="eastAsia" w:ascii="仿宋_GB2312" w:eastAsia="仿宋_GB2312"/>
          <w:sz w:val="28"/>
          <w:szCs w:val="28"/>
        </w:rPr>
        <w:t xml:space="preserve">                   2020年6月19日印发</w:t>
      </w:r>
    </w:p>
    <w:sectPr>
      <w:pgSz w:w="11906" w:h="16838"/>
      <w:pgMar w:top="1871" w:right="1531" w:bottom="1701" w:left="1531" w:header="851" w:footer="1418"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BD29816-E0B9-4263-AA32-81F978E91CE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130A29F-4D41-42BD-ABCB-F8FA5FF16FE4}"/>
  </w:font>
  <w:font w:name="仿宋_GB2312">
    <w:panose1 w:val="02010609030101010101"/>
    <w:charset w:val="86"/>
    <w:family w:val="modern"/>
    <w:pitch w:val="default"/>
    <w:sig w:usb0="00000001" w:usb1="080E0000" w:usb2="00000000" w:usb3="00000000" w:csb0="00040000" w:csb1="00000000"/>
    <w:embedRegular r:id="rId3" w:fontKey="{FD31997B-4F40-49F2-A2ED-BE8822DF2D3F}"/>
  </w:font>
  <w:font w:name="楷体_GB2312">
    <w:panose1 w:val="02010609030101010101"/>
    <w:charset w:val="86"/>
    <w:family w:val="modern"/>
    <w:pitch w:val="default"/>
    <w:sig w:usb0="00000001" w:usb1="080E0000" w:usb2="00000000" w:usb3="00000000" w:csb0="00040000" w:csb1="00000000"/>
    <w:embedRegular r:id="rId4" w:fontKey="{481E80A9-D75F-47ED-966F-652092FC0F73}"/>
  </w:font>
  <w:font w:name="方正小标宋简体">
    <w:panose1 w:val="02000000000000000000"/>
    <w:charset w:val="86"/>
    <w:family w:val="auto"/>
    <w:pitch w:val="default"/>
    <w:sig w:usb0="00000001" w:usb1="08000000" w:usb2="00000000" w:usb3="00000000" w:csb0="00040000" w:csb1="00000000"/>
    <w:embedRegular r:id="rId5" w:fontKey="{49A6310F-777F-4BAF-8FD2-DFCE765F3567}"/>
  </w:font>
  <w:font w:name="楷体">
    <w:panose1 w:val="02010609060101010101"/>
    <w:charset w:val="86"/>
    <w:family w:val="modern"/>
    <w:pitch w:val="default"/>
    <w:sig w:usb0="800002BF" w:usb1="38CF7CFA" w:usb2="00000016" w:usb3="00000000" w:csb0="00040001" w:csb1="00000000"/>
    <w:embedRegular r:id="rId6" w:fontKey="{03093670-8EDE-4BA9-99FC-F5849CF4F6DE}"/>
  </w:font>
  <w:font w:name="仿宋">
    <w:panose1 w:val="02010609060101010101"/>
    <w:charset w:val="86"/>
    <w:family w:val="modern"/>
    <w:pitch w:val="default"/>
    <w:sig w:usb0="800002BF" w:usb1="38CF7CFA" w:usb2="00000016" w:usb3="00000000" w:csb0="00040001" w:csb1="00000000"/>
    <w:embedRegular r:id="rId7" w:fontKey="{08B2DAC5-B377-4B08-9AF5-AB8936A5CCD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Fonts w:ascii="楷体_GB2312" w:eastAsia="楷体_GB2312"/>
        <w:sz w:val="28"/>
        <w:szCs w:val="28"/>
      </w:rPr>
    </w:pPr>
    <w:r>
      <w:rPr>
        <w:rStyle w:val="8"/>
        <w:rFonts w:hint="eastAsia" w:ascii="楷体_GB2312" w:eastAsia="楷体_GB2312"/>
        <w:sz w:val="28"/>
        <w:szCs w:val="28"/>
      </w:rPr>
      <w:t>—</w:t>
    </w:r>
    <w:r>
      <w:rPr>
        <w:rStyle w:val="8"/>
        <w:rFonts w:hint="eastAsia" w:ascii="仿宋_GB2312" w:eastAsia="仿宋_GB2312"/>
        <w:sz w:val="28"/>
        <w:szCs w:val="28"/>
      </w:rPr>
      <w:t xml:space="preserve"> </w:t>
    </w:r>
    <w:r>
      <w:rPr>
        <w:rStyle w:val="8"/>
        <w:rFonts w:eastAsia="仿宋_GB2312"/>
        <w:sz w:val="28"/>
        <w:szCs w:val="28"/>
      </w:rPr>
      <w:fldChar w:fldCharType="begin"/>
    </w:r>
    <w:r>
      <w:rPr>
        <w:rStyle w:val="8"/>
        <w:rFonts w:eastAsia="仿宋_GB2312"/>
        <w:sz w:val="28"/>
        <w:szCs w:val="28"/>
      </w:rPr>
      <w:instrText xml:space="preserve">PAGE  </w:instrText>
    </w:r>
    <w:r>
      <w:rPr>
        <w:rStyle w:val="8"/>
        <w:rFonts w:eastAsia="仿宋_GB2312"/>
        <w:sz w:val="28"/>
        <w:szCs w:val="28"/>
      </w:rPr>
      <w:fldChar w:fldCharType="separate"/>
    </w:r>
    <w:r>
      <w:rPr>
        <w:rStyle w:val="8"/>
        <w:rFonts w:eastAsia="仿宋_GB2312"/>
        <w:sz w:val="28"/>
        <w:szCs w:val="28"/>
      </w:rPr>
      <w:t>14</w:t>
    </w:r>
    <w:r>
      <w:rPr>
        <w:rStyle w:val="8"/>
        <w:rFonts w:eastAsia="仿宋_GB2312"/>
        <w:sz w:val="28"/>
        <w:szCs w:val="28"/>
      </w:rPr>
      <w:fldChar w:fldCharType="end"/>
    </w:r>
    <w:r>
      <w:rPr>
        <w:rStyle w:val="8"/>
        <w:rFonts w:hint="eastAsia" w:ascii="仿宋_GB2312" w:eastAsia="仿宋_GB2312"/>
        <w:sz w:val="28"/>
        <w:szCs w:val="28"/>
      </w:rPr>
      <w:t xml:space="preserve"> </w:t>
    </w:r>
    <w:r>
      <w:rPr>
        <w:rStyle w:val="8"/>
        <w:rFonts w:hint="eastAsia" w:ascii="楷体_GB2312" w:eastAsia="楷体_GB2312"/>
        <w:sz w:val="28"/>
        <w:szCs w:val="28"/>
      </w:rPr>
      <w:t>—</w:t>
    </w:r>
  </w:p>
  <w:p>
    <w:pPr>
      <w:pStyle w:val="3"/>
      <w:ind w:right="360" w:firstLine="360"/>
      <w:jc w:val="center"/>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gyNTgxNjlhMjdhMjVhYjFhMzg5OWFiZDcwNDY3NDkifQ=="/>
  </w:docVars>
  <w:rsids>
    <w:rsidRoot w:val="005E30A4"/>
    <w:rsid w:val="0006359F"/>
    <w:rsid w:val="0006490F"/>
    <w:rsid w:val="00080BC8"/>
    <w:rsid w:val="000878EB"/>
    <w:rsid w:val="000D5D77"/>
    <w:rsid w:val="000E2023"/>
    <w:rsid w:val="000F2405"/>
    <w:rsid w:val="000F7A9D"/>
    <w:rsid w:val="00105225"/>
    <w:rsid w:val="00115FDD"/>
    <w:rsid w:val="0014106C"/>
    <w:rsid w:val="00187CC2"/>
    <w:rsid w:val="001B327D"/>
    <w:rsid w:val="001B5EEE"/>
    <w:rsid w:val="001D0E98"/>
    <w:rsid w:val="00214910"/>
    <w:rsid w:val="002256E2"/>
    <w:rsid w:val="00243543"/>
    <w:rsid w:val="00265569"/>
    <w:rsid w:val="0027229D"/>
    <w:rsid w:val="00282084"/>
    <w:rsid w:val="00286296"/>
    <w:rsid w:val="002A6331"/>
    <w:rsid w:val="002F2787"/>
    <w:rsid w:val="003C46EE"/>
    <w:rsid w:val="00401D81"/>
    <w:rsid w:val="00457662"/>
    <w:rsid w:val="004649F0"/>
    <w:rsid w:val="004C028D"/>
    <w:rsid w:val="00517B2C"/>
    <w:rsid w:val="00535100"/>
    <w:rsid w:val="00543897"/>
    <w:rsid w:val="00544A0B"/>
    <w:rsid w:val="00581E61"/>
    <w:rsid w:val="005C050E"/>
    <w:rsid w:val="005E30A4"/>
    <w:rsid w:val="005E65F2"/>
    <w:rsid w:val="00600388"/>
    <w:rsid w:val="0065117C"/>
    <w:rsid w:val="00683CDB"/>
    <w:rsid w:val="006F15DE"/>
    <w:rsid w:val="00702255"/>
    <w:rsid w:val="007307C3"/>
    <w:rsid w:val="00763B02"/>
    <w:rsid w:val="00774CC9"/>
    <w:rsid w:val="007778F8"/>
    <w:rsid w:val="007C1889"/>
    <w:rsid w:val="008D425C"/>
    <w:rsid w:val="008D48D9"/>
    <w:rsid w:val="008E15C2"/>
    <w:rsid w:val="008E4EA4"/>
    <w:rsid w:val="00913EB4"/>
    <w:rsid w:val="00980BC7"/>
    <w:rsid w:val="00990FF4"/>
    <w:rsid w:val="009F2E98"/>
    <w:rsid w:val="00A20572"/>
    <w:rsid w:val="00A63421"/>
    <w:rsid w:val="00A65A6F"/>
    <w:rsid w:val="00A94B91"/>
    <w:rsid w:val="00AD728E"/>
    <w:rsid w:val="00AE0C66"/>
    <w:rsid w:val="00AE46C3"/>
    <w:rsid w:val="00AE66D3"/>
    <w:rsid w:val="00B1053F"/>
    <w:rsid w:val="00B319D0"/>
    <w:rsid w:val="00B51D56"/>
    <w:rsid w:val="00BB20B6"/>
    <w:rsid w:val="00BE3874"/>
    <w:rsid w:val="00C302FA"/>
    <w:rsid w:val="00C30869"/>
    <w:rsid w:val="00C34B12"/>
    <w:rsid w:val="00C66894"/>
    <w:rsid w:val="00CD446C"/>
    <w:rsid w:val="00CE4BFC"/>
    <w:rsid w:val="00CE55EF"/>
    <w:rsid w:val="00D04194"/>
    <w:rsid w:val="00D7789A"/>
    <w:rsid w:val="00D951E0"/>
    <w:rsid w:val="00DB2866"/>
    <w:rsid w:val="00E120F7"/>
    <w:rsid w:val="00E36A67"/>
    <w:rsid w:val="00E454FC"/>
    <w:rsid w:val="00ED39B6"/>
    <w:rsid w:val="00F02F0A"/>
    <w:rsid w:val="00F34AF2"/>
    <w:rsid w:val="00F376D9"/>
    <w:rsid w:val="00F6522E"/>
    <w:rsid w:val="00F958C7"/>
    <w:rsid w:val="00FC4FE6"/>
    <w:rsid w:val="00FF5528"/>
    <w:rsid w:val="33B91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kern w:val="0"/>
      <w:sz w:val="24"/>
    </w:rPr>
  </w:style>
  <w:style w:type="character" w:styleId="8">
    <w:name w:val="page number"/>
    <w:basedOn w:val="7"/>
    <w:semiHidden/>
    <w:unhideWhenUsed/>
    <w:qFormat/>
    <w:uiPriority w:val="99"/>
  </w:style>
  <w:style w:type="character" w:customStyle="1" w:styleId="9">
    <w:name w:val="页脚 Char"/>
    <w:basedOn w:val="7"/>
    <w:link w:val="3"/>
    <w:uiPriority w:val="99"/>
    <w:rPr>
      <w:rFonts w:ascii="Times New Roman" w:hAnsi="Times New Roman" w:eastAsia="宋体" w:cs="Times New Roman"/>
      <w:sz w:val="18"/>
      <w:szCs w:val="18"/>
    </w:rPr>
  </w:style>
  <w:style w:type="character" w:customStyle="1" w:styleId="10">
    <w:name w:val="页眉 Char"/>
    <w:basedOn w:val="7"/>
    <w:link w:val="4"/>
    <w:semiHidden/>
    <w:uiPriority w:val="99"/>
    <w:rPr>
      <w:rFonts w:ascii="Times New Roman" w:hAnsi="Times New Roman" w:eastAsia="宋体" w:cs="Times New Roman"/>
      <w:sz w:val="18"/>
      <w:szCs w:val="18"/>
    </w:rPr>
  </w:style>
  <w:style w:type="character" w:customStyle="1" w:styleId="11">
    <w:name w:val="批注框文本 Char"/>
    <w:basedOn w:val="7"/>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www.jujumao.org</Company>
  <Pages>14</Pages>
  <Words>990</Words>
  <Characters>5649</Characters>
  <Lines>47</Lines>
  <Paragraphs>13</Paragraphs>
  <TotalTime>18</TotalTime>
  <ScaleCrop>false</ScaleCrop>
  <LinksUpToDate>false</LinksUpToDate>
  <CharactersWithSpaces>6626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2020-06-19T07:41:00Z</dcterms:created>
  <dc:creator>巫灵芳</dc:creator>
  <cp:lastModifiedBy>Icarus</cp:lastModifiedBy>
  <cp:lastPrinted>2020-06-19T07:48:00Z</cp:lastPrinted>
  <dcterms:modified xsi:type="dcterms:W3CDTF">2024-02-22T02:02:17Z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DE74D6CBF61E487283848B9481DC56EF_12</vt:lpwstr>
  </property>
</Properties>
</file>