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ZJKC03-2025-0001</w:t>
      </w:r>
    </w:p>
    <w:p>
      <w:pPr>
        <w:keepNext w:val="0"/>
        <w:keepLines w:val="0"/>
        <w:pageBreakBefore w:val="0"/>
        <w:widowControl w:val="0"/>
        <w:kinsoku/>
        <w:wordWrap/>
        <w:overflowPunct/>
        <w:topLinePunct w:val="0"/>
        <w:autoSpaceDE/>
        <w:autoSpaceDN/>
        <w:bidi w:val="0"/>
        <w:adjustRightInd/>
        <w:snapToGrid/>
        <w:spacing w:line="700" w:lineRule="exact"/>
        <w:textAlignment w:val="auto"/>
      </w:pPr>
    </w:p>
    <w:tbl>
      <w:tblPr>
        <w:tblStyle w:val="7"/>
        <w:tblW w:w="9185" w:type="dxa"/>
        <w:jc w:val="center"/>
        <w:tblLayout w:type="fixed"/>
        <w:tblCellMar>
          <w:top w:w="0" w:type="dxa"/>
          <w:left w:w="108" w:type="dxa"/>
          <w:bottom w:w="0" w:type="dxa"/>
          <w:right w:w="108" w:type="dxa"/>
        </w:tblCellMar>
      </w:tblPr>
      <w:tblGrid>
        <w:gridCol w:w="7920"/>
        <w:gridCol w:w="1265"/>
      </w:tblGrid>
      <w:tr>
        <w:tblPrEx>
          <w:tblCellMar>
            <w:top w:w="0" w:type="dxa"/>
            <w:left w:w="108" w:type="dxa"/>
            <w:bottom w:w="0" w:type="dxa"/>
            <w:right w:w="108" w:type="dxa"/>
          </w:tblCellMar>
        </w:tblPrEx>
        <w:trPr>
          <w:trHeight w:val="1135" w:hRule="atLeast"/>
          <w:jc w:val="center"/>
        </w:trPr>
        <w:tc>
          <w:tcPr>
            <w:tcW w:w="7920" w:type="dxa"/>
            <w:vAlign w:val="center"/>
          </w:tcPr>
          <w:p>
            <w:pPr>
              <w:snapToGrid w:val="0"/>
              <w:spacing w:line="1100" w:lineRule="exact"/>
              <w:jc w:val="distribute"/>
              <w:rPr>
                <w:rFonts w:ascii="方正小标宋简体" w:eastAsia="方正小标宋简体"/>
                <w:spacing w:val="-54"/>
                <w:w w:val="90"/>
              </w:rPr>
            </w:pPr>
            <w:r>
              <w:rPr>
                <w:rFonts w:hint="eastAsia" w:ascii="方正小标宋简体" w:hAnsi="华文细黑" w:eastAsia="方正小标宋简体"/>
                <w:snapToGrid w:val="0"/>
                <w:color w:val="FF0000"/>
                <w:spacing w:val="-54"/>
                <w:w w:val="90"/>
                <w:kern w:val="10"/>
                <w:sz w:val="94"/>
                <w:szCs w:val="94"/>
              </w:rPr>
              <w:t>丽水市经济和信息化局</w:t>
            </w:r>
          </w:p>
        </w:tc>
        <w:tc>
          <w:tcPr>
            <w:tcW w:w="1265" w:type="dxa"/>
            <w:vMerge w:val="restart"/>
            <w:vAlign w:val="center"/>
          </w:tcPr>
          <w:p>
            <w:pPr>
              <w:snapToGrid w:val="0"/>
              <w:spacing w:line="1100" w:lineRule="exact"/>
              <w:jc w:val="center"/>
              <w:rPr>
                <w:rFonts w:ascii="方正小标宋简体" w:eastAsia="方正小标宋简体"/>
                <w:w w:val="70"/>
              </w:rPr>
            </w:pPr>
            <w:r>
              <w:rPr>
                <w:rFonts w:hint="eastAsia" w:ascii="方正小标宋简体" w:hAnsi="华文细黑" w:eastAsia="方正小标宋简体"/>
                <w:snapToGrid w:val="0"/>
                <w:color w:val="FF0000"/>
                <w:spacing w:val="-80"/>
                <w:w w:val="70"/>
                <w:kern w:val="10"/>
                <w:sz w:val="94"/>
                <w:szCs w:val="94"/>
              </w:rPr>
              <w:t>文件</w:t>
            </w:r>
          </w:p>
        </w:tc>
      </w:tr>
      <w:tr>
        <w:tblPrEx>
          <w:tblCellMar>
            <w:top w:w="0" w:type="dxa"/>
            <w:left w:w="108" w:type="dxa"/>
            <w:bottom w:w="0" w:type="dxa"/>
            <w:right w:w="108" w:type="dxa"/>
          </w:tblCellMar>
        </w:tblPrEx>
        <w:trPr>
          <w:trHeight w:val="1135" w:hRule="atLeast"/>
          <w:jc w:val="center"/>
        </w:trPr>
        <w:tc>
          <w:tcPr>
            <w:tcW w:w="7920" w:type="dxa"/>
            <w:vAlign w:val="center"/>
          </w:tcPr>
          <w:p>
            <w:pPr>
              <w:snapToGrid w:val="0"/>
              <w:spacing w:line="1100" w:lineRule="exact"/>
              <w:jc w:val="distribute"/>
              <w:rPr>
                <w:rFonts w:ascii="方正小标宋简体" w:hAnsi="华文细黑" w:eastAsia="方正小标宋简体"/>
                <w:snapToGrid w:val="0"/>
                <w:color w:val="FF0000"/>
                <w:kern w:val="10"/>
                <w:sz w:val="94"/>
                <w:szCs w:val="94"/>
              </w:rPr>
            </w:pPr>
            <w:r>
              <w:rPr>
                <w:rFonts w:hint="eastAsia" w:ascii="方正小标宋简体" w:hAnsi="华文细黑" w:eastAsia="方正小标宋简体"/>
                <w:snapToGrid w:val="0"/>
                <w:color w:val="FF0000"/>
                <w:spacing w:val="-54"/>
                <w:w w:val="90"/>
                <w:kern w:val="10"/>
                <w:sz w:val="94"/>
                <w:szCs w:val="94"/>
              </w:rPr>
              <w:t>丽水市财政局</w:t>
            </w:r>
          </w:p>
        </w:tc>
        <w:tc>
          <w:tcPr>
            <w:tcW w:w="1265" w:type="dxa"/>
            <w:vMerge w:val="continue"/>
            <w:vAlign w:val="center"/>
          </w:tcPr>
          <w:p>
            <w:pPr>
              <w:widowControl/>
              <w:jc w:val="left"/>
              <w:rPr>
                <w:rFonts w:ascii="方正小标宋简体" w:eastAsia="方正小标宋简体"/>
                <w:w w:val="70"/>
              </w:rPr>
            </w:pPr>
          </w:p>
        </w:tc>
      </w:tr>
    </w:tbl>
    <w:p>
      <w:pPr>
        <w:keepNext w:val="0"/>
        <w:keepLines w:val="0"/>
        <w:pageBreakBefore w:val="0"/>
        <w:widowControl w:val="0"/>
        <w:kinsoku/>
        <w:wordWrap/>
        <w:overflowPunct/>
        <w:topLinePunct w:val="0"/>
        <w:autoSpaceDE/>
        <w:autoSpaceDN/>
        <w:bidi w:val="0"/>
        <w:adjustRightInd/>
        <w:snapToGrid/>
        <w:spacing w:line="700" w:lineRule="exact"/>
        <w:textAlignment w:val="auto"/>
      </w:pPr>
    </w:p>
    <w:p>
      <w:pPr>
        <w:snapToGrid w:val="0"/>
        <w:spacing w:line="560" w:lineRule="atLeast"/>
        <w:jc w:val="center"/>
        <w:rPr>
          <w:rFonts w:ascii="楷体" w:hAnsi="楷体" w:eastAsia="楷体"/>
          <w:sz w:val="32"/>
          <w:szCs w:val="32"/>
        </w:rPr>
      </w:pPr>
      <w:bookmarkStart w:id="0" w:name="_GoBack"/>
      <w:bookmarkEnd w:id="0"/>
      <w:r>
        <w:rPr>
          <w:rFonts w:hint="eastAsia" w:ascii="仿宋_GB2312" w:eastAsia="仿宋_GB2312"/>
          <w:sz w:val="32"/>
          <w:szCs w:val="32"/>
        </w:rPr>
        <w:t>丽经信〔20</w:t>
      </w:r>
      <w:r>
        <w:rPr>
          <w:rFonts w:hint="eastAsia" w:ascii="仿宋_GB2312" w:eastAsia="仿宋_GB2312"/>
          <w:sz w:val="32"/>
          <w:szCs w:val="32"/>
          <w:lang w:val="en-US" w:eastAsia="zh-CN"/>
        </w:rPr>
        <w:t>25</w:t>
      </w:r>
      <w:r>
        <w:rPr>
          <w:rFonts w:hint="eastAsia" w:ascii="仿宋_GB2312" w:eastAsia="仿宋_GB2312"/>
          <w:sz w:val="32"/>
          <w:szCs w:val="32"/>
        </w:rPr>
        <w:t>〕</w:t>
      </w:r>
      <w:r>
        <w:rPr>
          <w:rFonts w:hint="eastAsia" w:ascii="仿宋_GB2312" w:eastAsia="仿宋_GB2312"/>
          <w:sz w:val="32"/>
          <w:szCs w:val="32"/>
          <w:lang w:val="en-US" w:eastAsia="zh-CN"/>
        </w:rPr>
        <w:t>66</w:t>
      </w:r>
      <w:r>
        <w:rPr>
          <w:rFonts w:hint="eastAsia" w:ascii="仿宋_GB2312" w:eastAsia="仿宋_GB2312"/>
          <w:sz w:val="32"/>
          <w:szCs w:val="32"/>
        </w:rPr>
        <w:t>号</w:t>
      </w:r>
    </w:p>
    <w:p>
      <w:pPr>
        <w:tabs>
          <w:tab w:val="center" w:pos="4422"/>
          <w:tab w:val="left" w:pos="6952"/>
        </w:tabs>
        <w:snapToGrid w:val="0"/>
        <w:spacing w:line="560" w:lineRule="atLeast"/>
        <w:jc w:val="left"/>
        <w:rPr>
          <w:rFonts w:ascii="仿宋_GB2312"/>
          <w:szCs w:val="24"/>
        </w:rPr>
      </w:pPr>
      <w:r>
        <w:rPr>
          <w:rFonts w:asciiTheme="minorHAnsi"/>
        </w:rPr>
        <mc:AlternateContent>
          <mc:Choice Requires="wps">
            <w:drawing>
              <wp:anchor distT="0" distB="0" distL="114300" distR="114300" simplePos="0" relativeHeight="251659264" behindDoc="0" locked="0" layoutInCell="1" allowOverlap="1">
                <wp:simplePos x="0" y="0"/>
                <wp:positionH relativeFrom="column">
                  <wp:posOffset>-198755</wp:posOffset>
                </wp:positionH>
                <wp:positionV relativeFrom="paragraph">
                  <wp:posOffset>220345</wp:posOffset>
                </wp:positionV>
                <wp:extent cx="5810250" cy="0"/>
                <wp:effectExtent l="0" t="12700" r="0" b="15875"/>
                <wp:wrapTopAndBottom/>
                <wp:docPr id="3" name="DocMarkLine"/>
                <wp:cNvGraphicFramePr/>
                <a:graphic xmlns:a="http://schemas.openxmlformats.org/drawingml/2006/main">
                  <a:graphicData uri="http://schemas.microsoft.com/office/word/2010/wordprocessingShape">
                    <wps:wsp>
                      <wps:cNvCnPr>
                        <a:cxnSpLocks noChangeShapeType="1"/>
                      </wps:cNvCnPr>
                      <wps:spPr bwMode="auto">
                        <a:xfrm>
                          <a:off x="0" y="0"/>
                          <a:ext cx="5810250" cy="0"/>
                        </a:xfrm>
                        <a:prstGeom prst="line">
                          <a:avLst/>
                        </a:prstGeom>
                        <a:noFill/>
                        <a:ln w="25400">
                          <a:solidFill>
                            <a:srgbClr val="FF0000"/>
                          </a:solidFill>
                          <a:round/>
                        </a:ln>
                        <a:effectLst/>
                      </wps:spPr>
                      <wps:bodyPr/>
                    </wps:wsp>
                  </a:graphicData>
                </a:graphic>
              </wp:anchor>
            </w:drawing>
          </mc:Choice>
          <mc:Fallback>
            <w:pict>
              <v:line id="DocMarkLine" o:spid="_x0000_s1026" o:spt="20" style="position:absolute;left:0pt;margin-left:-15.65pt;margin-top:17.35pt;height:0pt;width:457.5pt;mso-wrap-distance-bottom:0pt;mso-wrap-distance-top:0pt;z-index:251659264;mso-width-relative:page;mso-height-relative:page;" filled="f" stroked="t" coordsize="21600,21600" o:gfxdata="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PgK+yLWAAAACQEAAA8AAAAAAAAAAQAgAAAAIgAAAGRycy9kb3ducmV2LnhtbFBLAQIUABQA&#10;AAAIAIdO4kCR4fXBuQEAAGUDAAAOAAAAAAAAAAEAIAAAACUBAABkcnMvZTJvRG9jLnhtbFBLBQYA&#10;AAAABgAGAFkBAABQBQAAAAA=&#10;">
                <v:fill on="f" focussize="0,0"/>
                <v:stroke weight="2pt" color="#FF0000" joinstyle="round"/>
                <v:imagedata o:title=""/>
                <o:lock v:ext="edit" aspectratio="f"/>
                <w10:wrap type="topAndBottom"/>
              </v:line>
            </w:pict>
          </mc:Fallback>
        </mc:AlternateContent>
      </w:r>
      <w:r>
        <w:rPr>
          <w:rFonts w:hint="eastAsia" w:ascii="仿宋_GB2312"/>
        </w:rPr>
        <w:tab/>
      </w:r>
      <w:r>
        <w:rPr>
          <w:rFonts w:hint="eastAsia" w:ascii="仿宋_GB2312"/>
        </w:rPr>
        <w:tab/>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ascii="方正小标宋简体" w:hAnsi="黑体" w:eastAsia="方正小标宋简体"/>
          <w:sz w:val="44"/>
          <w:szCs w:val="44"/>
        </w:rPr>
      </w:pPr>
      <w:r>
        <w:rPr>
          <w:rFonts w:hint="eastAsia" w:ascii="方正小标宋简体" w:eastAsia="方正小标宋简体" w:hAnsiTheme="minorEastAsia"/>
          <w:sz w:val="44"/>
          <w:szCs w:val="44"/>
        </w:rPr>
        <w:t>丽水市经济和信息化局 丽水市财政局</w:t>
      </w: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eastAsia="方正小标宋简体"/>
          <w:sz w:val="44"/>
          <w:szCs w:val="44"/>
          <w:lang w:eastAsia="zh-CN"/>
        </w:rPr>
      </w:pPr>
      <w:r>
        <w:rPr>
          <w:rFonts w:hint="eastAsia" w:ascii="方正小标宋简体" w:eastAsia="方正小标宋简体" w:cs="方正小标宋简体"/>
          <w:sz w:val="44"/>
          <w:szCs w:val="44"/>
        </w:rPr>
        <w:t>关于</w:t>
      </w:r>
      <w:r>
        <w:rPr>
          <w:rFonts w:hint="eastAsia" w:ascii="方正小标宋简体" w:eastAsia="方正小标宋简体" w:cs="方正小标宋简体"/>
          <w:sz w:val="44"/>
          <w:szCs w:val="44"/>
          <w:lang w:eastAsia="zh-CN"/>
        </w:rPr>
        <w:t>修订</w:t>
      </w:r>
      <w:r>
        <w:rPr>
          <w:rFonts w:hint="eastAsia" w:ascii="方正小标宋简体" w:eastAsia="方正小标宋简体" w:cs="方正小标宋简体"/>
          <w:sz w:val="44"/>
          <w:szCs w:val="44"/>
        </w:rPr>
        <w:t>《丽水市</w:t>
      </w:r>
      <w:r>
        <w:rPr>
          <w:rFonts w:hint="eastAsia" w:ascii="方正小标宋简体" w:eastAsia="方正小标宋简体"/>
          <w:sz w:val="44"/>
          <w:szCs w:val="44"/>
        </w:rPr>
        <w:t>生态工业</w:t>
      </w:r>
      <w:r>
        <w:rPr>
          <w:rFonts w:hint="eastAsia" w:ascii="方正小标宋简体" w:eastAsia="方正小标宋简体"/>
          <w:sz w:val="44"/>
          <w:szCs w:val="44"/>
          <w:lang w:eastAsia="zh-CN"/>
        </w:rPr>
        <w:t>和数字经济发展</w:t>
      </w:r>
    </w:p>
    <w:p>
      <w:pPr>
        <w:keepNext w:val="0"/>
        <w:keepLines w:val="0"/>
        <w:pageBreakBefore w:val="0"/>
        <w:widowControl w:val="0"/>
        <w:kinsoku/>
        <w:wordWrap/>
        <w:overflowPunct/>
        <w:topLinePunct w:val="0"/>
        <w:autoSpaceDE/>
        <w:autoSpaceDN/>
        <w:bidi w:val="0"/>
        <w:adjustRightInd/>
        <w:snapToGrid/>
        <w:spacing w:after="157" w:afterLines="50" w:line="0" w:lineRule="atLeast"/>
        <w:jc w:val="center"/>
        <w:textAlignment w:val="auto"/>
        <w:rPr>
          <w:rFonts w:ascii="方正小标宋简体" w:eastAsia="方正小标宋简体"/>
          <w:sz w:val="44"/>
          <w:szCs w:val="44"/>
        </w:rPr>
      </w:pPr>
      <w:r>
        <w:rPr>
          <w:rFonts w:hint="eastAsia" w:ascii="方正小标宋简体" w:eastAsia="方正小标宋简体"/>
          <w:sz w:val="44"/>
          <w:szCs w:val="44"/>
          <w:lang w:eastAsia="zh-CN"/>
        </w:rPr>
        <w:t>专项</w:t>
      </w:r>
      <w:r>
        <w:rPr>
          <w:rFonts w:hint="eastAsia" w:ascii="方正小标宋简体" w:eastAsia="方正小标宋简体"/>
          <w:sz w:val="44"/>
          <w:szCs w:val="44"/>
        </w:rPr>
        <w:t>资金管理办法</w:t>
      </w:r>
      <w:r>
        <w:rPr>
          <w:rFonts w:hint="eastAsia" w:ascii="方正小标宋简体" w:eastAsia="方正小标宋简体" w:cs="方正小标宋简体"/>
          <w:sz w:val="44"/>
          <w:szCs w:val="44"/>
        </w:rPr>
        <w:t>》的通知</w:t>
      </w:r>
    </w:p>
    <w:p>
      <w:pPr>
        <w:keepNext w:val="0"/>
        <w:keepLines w:val="0"/>
        <w:pageBreakBefore w:val="0"/>
        <w:widowControl w:val="0"/>
        <w:kinsoku/>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莲都区经</w:t>
      </w:r>
      <w:r>
        <w:rPr>
          <w:rFonts w:hint="eastAsia" w:ascii="仿宋_GB2312" w:hAnsi="仿宋_GB2312" w:eastAsia="仿宋_GB2312" w:cs="仿宋_GB2312"/>
          <w:sz w:val="32"/>
          <w:szCs w:val="32"/>
          <w:lang w:eastAsia="zh-CN"/>
        </w:rPr>
        <w:t>信</w:t>
      </w:r>
      <w:r>
        <w:rPr>
          <w:rFonts w:hint="eastAsia" w:ascii="仿宋_GB2312" w:hAnsi="仿宋_GB2312" w:eastAsia="仿宋_GB2312" w:cs="仿宋_GB2312"/>
          <w:sz w:val="32"/>
          <w:szCs w:val="32"/>
        </w:rPr>
        <w:t>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财政局，丽水开发区</w:t>
      </w:r>
      <w:r>
        <w:rPr>
          <w:rFonts w:hint="eastAsia" w:ascii="仿宋_GB2312" w:hAnsi="仿宋_GB2312" w:eastAsia="仿宋_GB2312" w:cs="仿宋_GB2312"/>
          <w:sz w:val="32"/>
          <w:szCs w:val="32"/>
          <w:lang w:eastAsia="zh-CN"/>
        </w:rPr>
        <w:t>经济发展部、</w:t>
      </w:r>
      <w:r>
        <w:rPr>
          <w:rFonts w:hint="eastAsia" w:ascii="仿宋_GB2312" w:hAnsi="仿宋_GB2312" w:eastAsia="仿宋_GB2312" w:cs="仿宋_GB2312"/>
          <w:sz w:val="32"/>
          <w:szCs w:val="32"/>
        </w:rPr>
        <w:t>财政局，市直有关企业：</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hAnsi="Calibri" w:eastAsia="仿宋_GB2312" w:cs="仿宋_GB2312"/>
          <w:kern w:val="2"/>
          <w:sz w:val="32"/>
          <w:szCs w:val="32"/>
          <w:lang w:val="en-US" w:eastAsia="zh-CN" w:bidi="ar"/>
        </w:rPr>
      </w:pPr>
      <w:r>
        <w:rPr>
          <w:rFonts w:hint="default" w:ascii="仿宋_GB2312" w:hAnsi="Calibri" w:eastAsia="仿宋_GB2312" w:cs="仿宋_GB2312"/>
          <w:kern w:val="2"/>
          <w:sz w:val="32"/>
          <w:szCs w:val="32"/>
          <w:lang w:val="en-US" w:eastAsia="zh-CN" w:bidi="ar"/>
        </w:rPr>
        <w:t>为进一步规范政策资金管理，维护市场公平竞争秩序，决定对《丽水市生态工业和数字经济发展专项资金管理办法》（丽经信〔2021〕40号）的个别条款作如下修改：</w:t>
      </w:r>
    </w:p>
    <w:p>
      <w:pPr>
        <w:keepNext w:val="0"/>
        <w:keepLines w:val="0"/>
        <w:pageBreakBefore w:val="0"/>
        <w:widowControl w:val="0"/>
        <w:suppressLineNumbers w:val="0"/>
        <w:kinsoku/>
        <w:overflowPunct/>
        <w:topLinePunct w:val="0"/>
        <w:autoSpaceDE w:val="0"/>
        <w:autoSpaceDN/>
        <w:bidi w:val="0"/>
        <w:adjustRightInd/>
        <w:snapToGrid/>
        <w:spacing w:before="0" w:beforeAutospacing="0" w:after="0" w:afterAutospacing="0" w:line="600" w:lineRule="exact"/>
        <w:ind w:left="0" w:right="0" w:firstLine="640" w:firstLineChars="200"/>
        <w:jc w:val="both"/>
        <w:textAlignment w:val="auto"/>
        <w:rPr>
          <w:rFonts w:hint="default" w:ascii="仿宋_GB2312" w:eastAsia="仿宋_GB2312" w:cs="仿宋_GB2312"/>
          <w:kern w:val="2"/>
          <w:sz w:val="32"/>
          <w:szCs w:val="32"/>
        </w:rPr>
      </w:pPr>
      <w:r>
        <w:rPr>
          <w:rFonts w:hint="default" w:ascii="仿宋_GB2312" w:hAnsi="Calibri" w:eastAsia="仿宋_GB2312" w:cs="仿宋_GB2312"/>
          <w:kern w:val="2"/>
          <w:sz w:val="32"/>
          <w:szCs w:val="32"/>
          <w:lang w:val="en-US" w:eastAsia="zh-CN" w:bidi="ar"/>
        </w:rPr>
        <w:t>删除原文件第二章第三条“专项资金支持范围和申报材料”中第（</w:t>
      </w:r>
      <w:r>
        <w:rPr>
          <w:rFonts w:hint="eastAsia" w:ascii="仿宋_GB2312" w:hAnsi="Calibri" w:eastAsia="仿宋_GB2312" w:cs="仿宋_GB2312"/>
          <w:kern w:val="2"/>
          <w:sz w:val="32"/>
          <w:szCs w:val="32"/>
          <w:lang w:val="en-US" w:eastAsia="zh-CN" w:bidi="ar"/>
        </w:rPr>
        <w:t>六</w:t>
      </w:r>
      <w:r>
        <w:rPr>
          <w:rFonts w:hint="default" w:ascii="仿宋_GB2312" w:hAnsi="Calibri" w:eastAsia="仿宋_GB2312" w:cs="仿宋_GB2312"/>
          <w:kern w:val="2"/>
          <w:sz w:val="32"/>
          <w:szCs w:val="32"/>
          <w:lang w:val="en-US" w:eastAsia="zh-CN" w:bidi="ar"/>
        </w:rPr>
        <w:t>）条</w:t>
      </w:r>
      <w:r>
        <w:rPr>
          <w:rFonts w:hint="eastAsia" w:ascii="仿宋_GB2312" w:hAnsi="Calibri" w:eastAsia="仿宋_GB2312" w:cs="仿宋_GB2312"/>
          <w:kern w:val="2"/>
          <w:sz w:val="32"/>
          <w:szCs w:val="32"/>
          <w:lang w:val="en-US" w:eastAsia="zh-CN" w:bidi="ar"/>
        </w:rPr>
        <w:t>“支持企业做强做大”、</w:t>
      </w:r>
      <w:r>
        <w:rPr>
          <w:rFonts w:hint="default" w:ascii="仿宋_GB2312" w:hAnsi="Calibri" w:eastAsia="仿宋_GB2312" w:cs="仿宋_GB2312"/>
          <w:kern w:val="2"/>
          <w:sz w:val="32"/>
          <w:szCs w:val="32"/>
          <w:lang w:val="en-US" w:eastAsia="zh-CN" w:bidi="ar"/>
        </w:rPr>
        <w:t>第（十五）条</w:t>
      </w:r>
      <w:r>
        <w:rPr>
          <w:rFonts w:hint="eastAsia" w:ascii="仿宋_GB2312" w:hAnsi="Calibri" w:eastAsia="仿宋_GB2312" w:cs="仿宋_GB2312"/>
          <w:kern w:val="2"/>
          <w:sz w:val="32"/>
          <w:szCs w:val="32"/>
          <w:lang w:val="en-US" w:eastAsia="zh-CN" w:bidi="ar"/>
        </w:rPr>
        <w:t>“</w:t>
      </w:r>
      <w:r>
        <w:rPr>
          <w:rFonts w:hint="default" w:ascii="仿宋_GB2312" w:hAnsi="Calibri" w:eastAsia="仿宋_GB2312" w:cs="仿宋_GB2312"/>
          <w:color w:val="000000"/>
          <w:kern w:val="2"/>
          <w:sz w:val="32"/>
          <w:szCs w:val="32"/>
          <w:lang w:val="en-US" w:eastAsia="zh-CN" w:bidi="ar"/>
        </w:rPr>
        <w:t>鼓励引进数字经济龙头企业</w:t>
      </w:r>
      <w:r>
        <w:rPr>
          <w:rFonts w:hint="eastAsia" w:ascii="仿宋_GB2312" w:hAnsi="Calibri" w:eastAsia="仿宋_GB2312" w:cs="仿宋_GB2312"/>
          <w:kern w:val="2"/>
          <w:sz w:val="32"/>
          <w:szCs w:val="32"/>
          <w:lang w:val="en-US" w:eastAsia="zh-CN" w:bidi="ar"/>
        </w:rPr>
        <w:t>”、</w:t>
      </w:r>
      <w:r>
        <w:rPr>
          <w:rFonts w:hint="default" w:ascii="仿宋_GB2312" w:hAnsi="Calibri" w:eastAsia="仿宋_GB2312" w:cs="仿宋_GB2312"/>
          <w:kern w:val="2"/>
          <w:sz w:val="32"/>
          <w:szCs w:val="32"/>
          <w:lang w:val="en-US" w:eastAsia="zh-CN" w:bidi="ar"/>
        </w:rPr>
        <w:t>第（十七）条</w:t>
      </w:r>
      <w:r>
        <w:rPr>
          <w:rFonts w:hint="eastAsia" w:ascii="仿宋_GB2312" w:hAnsi="Calibri" w:eastAsia="仿宋_GB2312" w:cs="仿宋_GB2312"/>
          <w:color w:val="000000"/>
          <w:kern w:val="2"/>
          <w:sz w:val="32"/>
          <w:szCs w:val="32"/>
          <w:lang w:val="en-US" w:eastAsia="zh-CN" w:bidi="ar"/>
        </w:rPr>
        <w:t>“</w:t>
      </w:r>
      <w:r>
        <w:rPr>
          <w:rFonts w:hint="default" w:ascii="仿宋_GB2312" w:hAnsi="Calibri" w:eastAsia="仿宋_GB2312" w:cs="仿宋_GB2312"/>
          <w:color w:val="000000"/>
          <w:kern w:val="2"/>
          <w:sz w:val="32"/>
          <w:szCs w:val="32"/>
          <w:lang w:val="en-US" w:eastAsia="zh-CN" w:bidi="ar"/>
        </w:rPr>
        <w:t>支持数字经济企业开展股权激励</w:t>
      </w:r>
      <w:r>
        <w:rPr>
          <w:rFonts w:hint="eastAsia" w:ascii="仿宋_GB2312" w:hAnsi="Calibri" w:eastAsia="仿宋_GB2312" w:cs="仿宋_GB2312"/>
          <w:color w:val="000000"/>
          <w:kern w:val="2"/>
          <w:sz w:val="32"/>
          <w:szCs w:val="32"/>
          <w:lang w:val="en-US" w:eastAsia="zh-CN" w:bidi="ar"/>
        </w:rPr>
        <w:t>”所有内容；</w:t>
      </w:r>
      <w:r>
        <w:rPr>
          <w:rFonts w:hint="default" w:ascii="仿宋_GB2312" w:hAnsi="Calibri" w:eastAsia="仿宋_GB2312" w:cs="仿宋_GB2312"/>
          <w:kern w:val="2"/>
          <w:sz w:val="32"/>
          <w:szCs w:val="32"/>
          <w:lang w:val="en-US" w:eastAsia="zh-CN" w:bidi="ar"/>
        </w:rPr>
        <w:t>第（十</w:t>
      </w:r>
      <w:r>
        <w:rPr>
          <w:rFonts w:hint="eastAsia" w:ascii="仿宋_GB2312" w:hAnsi="Calibri" w:eastAsia="仿宋_GB2312" w:cs="仿宋_GB2312"/>
          <w:kern w:val="2"/>
          <w:sz w:val="32"/>
          <w:szCs w:val="32"/>
          <w:lang w:val="en-US" w:eastAsia="zh-CN" w:bidi="ar"/>
        </w:rPr>
        <w:t>六</w:t>
      </w:r>
      <w:r>
        <w:rPr>
          <w:rFonts w:hint="default" w:ascii="仿宋_GB2312" w:hAnsi="Calibri" w:eastAsia="仿宋_GB2312" w:cs="仿宋_GB2312"/>
          <w:kern w:val="2"/>
          <w:sz w:val="32"/>
          <w:szCs w:val="32"/>
          <w:lang w:val="en-US" w:eastAsia="zh-CN" w:bidi="ar"/>
        </w:rPr>
        <w:t>）条</w:t>
      </w:r>
      <w:r>
        <w:rPr>
          <w:rFonts w:hint="eastAsia" w:ascii="仿宋_GB2312" w:hAnsi="Calibri" w:eastAsia="仿宋_GB2312" w:cs="仿宋_GB2312"/>
          <w:kern w:val="2"/>
          <w:sz w:val="32"/>
          <w:szCs w:val="32"/>
          <w:lang w:val="en-US" w:eastAsia="zh-CN" w:bidi="ar"/>
        </w:rPr>
        <w:t>第2点“数字经济企业营收达标奖励”</w:t>
      </w:r>
      <w:r>
        <w:rPr>
          <w:rFonts w:hint="default" w:ascii="仿宋_GB2312" w:hAnsi="Calibri" w:eastAsia="仿宋_GB2312" w:cs="仿宋_GB2312"/>
          <w:color w:val="000000"/>
          <w:kern w:val="2"/>
          <w:sz w:val="32"/>
          <w:szCs w:val="32"/>
          <w:lang w:val="en-US" w:eastAsia="zh-CN" w:bidi="ar"/>
        </w:rPr>
        <w:t>内容</w:t>
      </w:r>
      <w:r>
        <w:rPr>
          <w:rFonts w:hint="eastAsia" w:ascii="仿宋_GB2312" w:hAnsi="Calibri" w:eastAsia="仿宋_GB2312" w:cs="仿宋_GB2312"/>
          <w:color w:val="000000"/>
          <w:kern w:val="2"/>
          <w:sz w:val="32"/>
          <w:szCs w:val="32"/>
          <w:lang w:val="en-US" w:eastAsia="zh-CN" w:bidi="ar"/>
        </w:rPr>
        <w:t>。删除原文件第五章附则第七条、第九条所有内容。</w:t>
      </w:r>
      <w:r>
        <w:rPr>
          <w:rFonts w:hint="default" w:ascii="仿宋_GB2312" w:hAnsi="Calibri" w:eastAsia="仿宋_GB2312" w:cs="仿宋_GB2312"/>
          <w:kern w:val="2"/>
          <w:sz w:val="32"/>
          <w:szCs w:val="32"/>
          <w:lang w:val="en-US" w:eastAsia="zh-CN" w:bidi="ar"/>
        </w:rPr>
        <w:t>现将修订版本印发给你们，请遵照执行。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丽水市经济和信息化</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丽水市财政局 </w:t>
      </w:r>
    </w:p>
    <w:p>
      <w:pPr>
        <w:keepNext w:val="0"/>
        <w:keepLines w:val="0"/>
        <w:pageBreakBefore w:val="0"/>
        <w:widowControl w:val="0"/>
        <w:kinsoku/>
        <w:wordWrap w:val="0"/>
        <w:overflowPunct/>
        <w:topLinePunct w:val="0"/>
        <w:autoSpaceDE/>
        <w:autoSpaceDN/>
        <w:bidi w:val="0"/>
        <w:adjustRightInd/>
        <w:snapToGrid/>
        <w:spacing w:line="600" w:lineRule="exact"/>
        <w:ind w:firstLine="6080" w:firstLineChars="19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年</w:t>
      </w:r>
      <w:r>
        <w:rPr>
          <w:rFonts w:hint="default" w:ascii="仿宋_GB2312" w:hAnsi="仿宋_GB2312" w:eastAsia="仿宋_GB2312" w:cs="仿宋_GB2312"/>
          <w:sz w:val="32"/>
          <w:szCs w:val="32"/>
          <w:lang w:val="en"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w:t>
      </w:r>
    </w:p>
    <w:p>
      <w:pPr>
        <w:keepNext w:val="0"/>
        <w:keepLines w:val="0"/>
        <w:pageBreakBefore w:val="0"/>
        <w:widowControl w:val="0"/>
        <w:kinsoku/>
        <w:wordWrap w:val="0"/>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（此件公开发布）</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32"/>
          <w:szCs w:val="32"/>
        </w:rPr>
        <w:sectPr>
          <w:headerReference r:id="rId3" w:type="default"/>
          <w:footerReference r:id="rId4" w:type="default"/>
          <w:pgSz w:w="11906" w:h="16838"/>
          <w:pgMar w:top="2098" w:right="1531" w:bottom="1814" w:left="1531" w:header="851" w:footer="964" w:gutter="0"/>
          <w:pgNumType w:fmt="numberInDash"/>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丽水</w:t>
      </w:r>
      <w:r>
        <w:rPr>
          <w:rFonts w:hint="eastAsia" w:ascii="方正小标宋简体" w:hAnsi="方正小标宋简体" w:eastAsia="方正小标宋简体" w:cs="方正小标宋简体"/>
          <w:sz w:val="44"/>
          <w:szCs w:val="44"/>
          <w:lang w:eastAsia="zh-CN"/>
        </w:rPr>
        <w:t>市</w:t>
      </w:r>
      <w:r>
        <w:rPr>
          <w:rFonts w:hint="eastAsia" w:ascii="方正小标宋简体" w:hAnsi="方正小标宋简体" w:eastAsia="方正小标宋简体" w:cs="方正小标宋简体"/>
          <w:sz w:val="44"/>
          <w:szCs w:val="44"/>
        </w:rPr>
        <w:t>生态工业</w:t>
      </w:r>
      <w:r>
        <w:rPr>
          <w:rFonts w:hint="eastAsia" w:ascii="方正小标宋简体" w:hAnsi="方正小标宋简体" w:eastAsia="方正小标宋简体" w:cs="方正小标宋简体"/>
          <w:sz w:val="44"/>
          <w:szCs w:val="44"/>
          <w:lang w:eastAsia="zh-CN"/>
        </w:rPr>
        <w:t>和数字经济发展专项</w:t>
      </w:r>
      <w:r>
        <w:rPr>
          <w:rFonts w:hint="eastAsia" w:ascii="方正小标宋简体" w:hAnsi="方正小标宋简体" w:eastAsia="方正小标宋简体" w:cs="方正小标宋简体"/>
          <w:sz w:val="44"/>
          <w:szCs w:val="44"/>
        </w:rPr>
        <w:t>资金</w:t>
      </w:r>
    </w:p>
    <w:p>
      <w:pPr>
        <w:keepNext w:val="0"/>
        <w:keepLines w:val="0"/>
        <w:pageBreakBefore w:val="0"/>
        <w:widowControl w:val="0"/>
        <w:kinsoku/>
        <w:wordWrap/>
        <w:overflowPunct/>
        <w:topLinePunct w:val="0"/>
        <w:autoSpaceDE/>
        <w:autoSpaceDN/>
        <w:bidi w:val="0"/>
        <w:adjustRightInd/>
        <w:snapToGrid/>
        <w:spacing w:after="157" w:afterLines="50" w:line="0" w:lineRule="atLeas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管理办法</w:t>
      </w:r>
    </w:p>
    <w:p>
      <w:pPr>
        <w:keepNext w:val="0"/>
        <w:keepLines w:val="0"/>
        <w:pageBreakBefore w:val="0"/>
        <w:widowControl w:val="0"/>
        <w:kinsoku/>
        <w:wordWrap/>
        <w:overflowPunct/>
        <w:topLinePunct w:val="0"/>
        <w:autoSpaceDE/>
        <w:autoSpaceDN/>
        <w:bidi w:val="0"/>
        <w:snapToGrid/>
        <w:spacing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第一章 总 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val="0"/>
          <w:bCs w:val="0"/>
          <w:sz w:val="32"/>
          <w:szCs w:val="32"/>
        </w:rPr>
        <w:t>第一条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lang w:val="en-US" w:eastAsia="zh-CN"/>
        </w:rPr>
        <w:t>为</w:t>
      </w:r>
      <w:r>
        <w:rPr>
          <w:rFonts w:hint="eastAsia" w:ascii="仿宋_GB2312" w:hAnsi="仿宋_GB2312" w:eastAsia="仿宋_GB2312" w:cs="仿宋_GB2312"/>
          <w:sz w:val="32"/>
          <w:szCs w:val="32"/>
          <w:lang w:eastAsia="zh-CN"/>
        </w:rPr>
        <w:t>进一步明确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丽水市人民政府关于修改</w:t>
      </w:r>
      <w:r>
        <w:rPr>
          <w:rFonts w:hint="default" w:ascii="仿宋_GB2312" w:hAnsi="仿宋_GB2312" w:eastAsia="仿宋_GB2312" w:cs="仿宋_GB2312"/>
          <w:sz w:val="32"/>
          <w:szCs w:val="32"/>
          <w:lang w:val="en" w:eastAsia="zh-CN"/>
        </w:rPr>
        <w:t>&lt;</w:t>
      </w:r>
      <w:r>
        <w:rPr>
          <w:rFonts w:hint="eastAsia" w:ascii="仿宋_GB2312" w:hAnsi="仿宋_GB2312" w:eastAsia="仿宋_GB2312" w:cs="仿宋_GB2312"/>
          <w:sz w:val="32"/>
          <w:szCs w:val="32"/>
          <w:lang w:eastAsia="zh-CN"/>
        </w:rPr>
        <w:t>丽水市人民政府关于加快生态工业和数字经济高质量发展若干政策的意见</w:t>
      </w:r>
      <w:r>
        <w:rPr>
          <w:rFonts w:hint="eastAsia" w:ascii="仿宋_GB2312" w:hAnsi="仿宋_GB2312" w:eastAsia="仿宋_GB2312" w:cs="仿宋_GB2312"/>
          <w:sz w:val="32"/>
          <w:szCs w:val="32"/>
          <w:lang w:val="en-US" w:eastAsia="zh-CN"/>
        </w:rPr>
        <w:t>&gt;的通知》</w:t>
      </w:r>
      <w:r>
        <w:rPr>
          <w:rFonts w:hint="eastAsia" w:ascii="仿宋_GB2312" w:hAnsi="仿宋_GB2312" w:eastAsia="仿宋_GB2312" w:cs="仿宋_GB2312"/>
          <w:sz w:val="32"/>
          <w:szCs w:val="32"/>
          <w:lang w:eastAsia="zh-CN"/>
        </w:rPr>
        <w:t>（丽政发〔</w:t>
      </w:r>
      <w:r>
        <w:rPr>
          <w:rFonts w:hint="eastAsia" w:ascii="仿宋_GB2312" w:hAnsi="仿宋_GB2312" w:eastAsia="仿宋_GB2312" w:cs="仿宋_GB2312"/>
          <w:sz w:val="32"/>
          <w:szCs w:val="32"/>
          <w:lang w:val="en-US" w:eastAsia="zh-CN"/>
        </w:rPr>
        <w:t>2021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lang w:eastAsia="zh-CN"/>
        </w:rPr>
        <w:t>号），以下简称《意见》）政策申报范围和申报办法，</w:t>
      </w:r>
      <w:r>
        <w:rPr>
          <w:rFonts w:hint="eastAsia" w:ascii="仿宋_GB2312" w:hAnsi="仿宋_GB2312" w:eastAsia="仿宋_GB2312" w:cs="仿宋_GB2312"/>
          <w:sz w:val="32"/>
          <w:szCs w:val="32"/>
        </w:rPr>
        <w:t>规范</w:t>
      </w:r>
      <w:r>
        <w:rPr>
          <w:rFonts w:hint="eastAsia" w:ascii="仿宋_GB2312" w:hAnsi="仿宋_GB2312" w:eastAsia="仿宋_GB2312" w:cs="仿宋_GB2312"/>
          <w:sz w:val="32"/>
          <w:szCs w:val="32"/>
          <w:lang w:eastAsia="zh-CN"/>
        </w:rPr>
        <w:t>市区</w:t>
      </w:r>
      <w:r>
        <w:rPr>
          <w:rFonts w:hint="eastAsia" w:ascii="仿宋_GB2312" w:hAnsi="仿宋_GB2312" w:eastAsia="仿宋_GB2312" w:cs="仿宋_GB2312"/>
          <w:sz w:val="32"/>
          <w:szCs w:val="32"/>
        </w:rPr>
        <w:t>生态工业</w:t>
      </w:r>
      <w:r>
        <w:rPr>
          <w:rFonts w:hint="eastAsia" w:ascii="仿宋_GB2312" w:hAnsi="仿宋_GB2312" w:eastAsia="仿宋_GB2312" w:cs="仿宋_GB2312"/>
          <w:sz w:val="32"/>
          <w:szCs w:val="32"/>
          <w:lang w:eastAsia="zh-CN"/>
        </w:rPr>
        <w:t>和数字经济</w:t>
      </w:r>
      <w:r>
        <w:rPr>
          <w:rFonts w:hint="eastAsia" w:ascii="仿宋_GB2312" w:hAnsi="仿宋_GB2312" w:eastAsia="仿宋_GB2312" w:cs="仿宋_GB2312"/>
          <w:sz w:val="32"/>
          <w:szCs w:val="32"/>
        </w:rPr>
        <w:t>发展专项资金的使用、管理和监督，</w:t>
      </w:r>
      <w:r>
        <w:rPr>
          <w:rFonts w:hint="eastAsia" w:ascii="仿宋_GB2312" w:hAnsi="仿宋_GB2312" w:eastAsia="仿宋_GB2312" w:cs="仿宋_GB2312"/>
          <w:sz w:val="32"/>
          <w:szCs w:val="32"/>
          <w:lang w:eastAsia="zh-CN"/>
        </w:rPr>
        <w:t>特制定本办法。</w:t>
      </w:r>
    </w:p>
    <w:p>
      <w:pPr>
        <w:keepNext w:val="0"/>
        <w:keepLines w:val="0"/>
        <w:pageBreakBefore w:val="0"/>
        <w:widowControl w:val="0"/>
        <w:numPr>
          <w:ilvl w:val="0"/>
          <w:numId w:val="0"/>
        </w:numPr>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snapToGrid/>
        <w:spacing w:line="58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eastAsia="zh-CN"/>
        </w:rPr>
        <w:t>第二章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专项资金支持的对象和范围</w:t>
      </w:r>
    </w:p>
    <w:p>
      <w:pPr>
        <w:keepNext w:val="0"/>
        <w:keepLines w:val="0"/>
        <w:pageBreakBefore w:val="0"/>
        <w:widowControl w:val="0"/>
        <w:numPr>
          <w:ilvl w:val="0"/>
          <w:numId w:val="0"/>
        </w:numPr>
        <w:kinsoku/>
        <w:wordWrap/>
        <w:overflowPunct/>
        <w:topLinePunct w:val="0"/>
        <w:autoSpaceDE/>
        <w:autoSpaceDN/>
        <w:bidi w:val="0"/>
        <w:snapToGrid/>
        <w:spacing w:line="58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b w:val="0"/>
          <w:bCs w:val="0"/>
          <w:sz w:val="32"/>
          <w:szCs w:val="32"/>
          <w:lang w:eastAsia="zh-CN"/>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专项资金支持对象</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（一）《意见》</w:t>
      </w:r>
      <w:r>
        <w:rPr>
          <w:rFonts w:hint="eastAsia" w:ascii="仿宋_GB2312" w:hAnsi="仿宋_GB2312" w:eastAsia="仿宋_GB2312" w:cs="仿宋_GB2312"/>
          <w:sz w:val="32"/>
          <w:szCs w:val="32"/>
          <w:lang w:val="en-US" w:eastAsia="zh-CN"/>
        </w:rPr>
        <w:t>支持对象为丽水市区符合条件的企业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除已明确适用对象外，其他条款支持对象为制造业企业。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rPr>
        <w:t>（二）</w:t>
      </w:r>
      <w:r>
        <w:rPr>
          <w:rFonts w:hint="eastAsia" w:ascii="仿宋_GB2312" w:hAnsi="仿宋_GB2312" w:eastAsia="仿宋_GB2312" w:cs="仿宋_GB2312"/>
          <w:i w:val="0"/>
          <w:iCs w:val="0"/>
          <w:sz w:val="32"/>
          <w:szCs w:val="32"/>
          <w:u w:val="none"/>
          <w:lang w:eastAsia="zh-CN"/>
        </w:rPr>
        <w:t>数字经济企业是指符合工信部编制的《电子信息制造业统计调查制度》、《软件和信息技术服务业统计调查制度》行业分类的企业。如遇制度调整，按接续的制度确定《政策》支持对象范围</w:t>
      </w:r>
      <w:r>
        <w:rPr>
          <w:rFonts w:hint="eastAsia" w:ascii="仿宋_GB2312" w:hAnsi="仿宋_GB2312" w:eastAsia="仿宋_GB2312" w:cs="仿宋_GB2312"/>
          <w:i w:val="0"/>
          <w:iCs w:val="0"/>
          <w:sz w:val="32"/>
          <w:szCs w:val="32"/>
          <w:u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）企业依法经营、财务制度健全、管理规范，按规定进行纳税申报，按时准确向有关部门报送统计等相关报表。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根据《浙江省公共信用信息管理条例》规定，被列入严重失信名单的自然人、法人和非法人组织不得享受本扶持资金。</w:t>
      </w:r>
    </w:p>
    <w:p>
      <w:pPr>
        <w:keepNext w:val="0"/>
        <w:keepLines w:val="0"/>
        <w:pageBreakBefore w:val="0"/>
        <w:kinsoku/>
        <w:wordWrap/>
        <w:overflowPunct/>
        <w:topLinePunct w:val="0"/>
        <w:autoSpaceDE/>
        <w:autoSpaceDN/>
        <w:bidi w:val="0"/>
        <w:adjustRightInd w:val="0"/>
        <w:snapToGrid/>
        <w:spacing w:line="5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w:t>
      </w:r>
      <w:r>
        <w:rPr>
          <w:rFonts w:hint="eastAsia" w:ascii="仿宋_GB2312" w:eastAsia="仿宋_GB2312"/>
          <w:color w:val="000000"/>
          <w:sz w:val="32"/>
          <w:szCs w:val="32"/>
        </w:rPr>
        <w:t>企业可同时享受本意见和省级以上扶持政策。</w:t>
      </w:r>
      <w:r>
        <w:rPr>
          <w:rFonts w:hint="eastAsia" w:ascii="仿宋_GB2312" w:hAnsi="仿宋_GB2312" w:eastAsia="仿宋_GB2312" w:cs="仿宋_GB2312"/>
          <w:sz w:val="32"/>
          <w:szCs w:val="32"/>
        </w:rPr>
        <w:t xml:space="preserve">同一项目既符合本意见又符合本级其他政策，或符合本意见多项条款，或符合同一条款内多档次奖励（补助）条件的，由企业自行选择一项申报，不重复扶持。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b w:val="0"/>
          <w:bCs w:val="0"/>
          <w:sz w:val="32"/>
          <w:szCs w:val="32"/>
          <w:lang w:eastAsia="zh-CN"/>
        </w:rPr>
        <w:t>第三条</w:t>
      </w:r>
      <w:r>
        <w:rPr>
          <w:rFonts w:hint="eastAsia" w:ascii="仿宋_GB2312" w:hAnsi="仿宋_GB2312" w:eastAsia="仿宋_GB2312" w:cs="仿宋_GB2312"/>
          <w:sz w:val="32"/>
          <w:szCs w:val="32"/>
        </w:rPr>
        <w:t xml:space="preserve"> 专项资金</w:t>
      </w:r>
      <w:r>
        <w:rPr>
          <w:rFonts w:hint="eastAsia" w:ascii="仿宋_GB2312" w:hAnsi="仿宋_GB2312" w:eastAsia="仿宋_GB2312" w:cs="仿宋_GB2312"/>
          <w:sz w:val="32"/>
          <w:szCs w:val="32"/>
          <w:lang w:eastAsia="zh-CN"/>
        </w:rPr>
        <w:t>支持范围和申报材料</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（一）</w:t>
      </w:r>
      <w:r>
        <w:rPr>
          <w:rFonts w:hint="eastAsia" w:ascii="仿宋_GB2312" w:hAnsi="仿宋_GB2312" w:eastAsia="仿宋_GB2312" w:cs="仿宋_GB2312"/>
          <w:color w:val="000000"/>
          <w:sz w:val="32"/>
          <w:szCs w:val="32"/>
        </w:rPr>
        <w:t>支持主导产业发展</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1.补助标准：</w:t>
      </w:r>
      <w:r>
        <w:rPr>
          <w:rFonts w:hint="eastAsia" w:ascii="仿宋_GB2312" w:hAnsi="仿宋_GB2312" w:eastAsia="仿宋_GB2312" w:cs="仿宋_GB2312"/>
          <w:color w:val="000000"/>
          <w:sz w:val="32"/>
          <w:szCs w:val="32"/>
        </w:rPr>
        <w:t>对半导体全链条、数字经济</w:t>
      </w:r>
      <w:r>
        <w:rPr>
          <w:rFonts w:hint="eastAsia" w:ascii="仿宋_GB2312" w:hAnsi="仿宋_GB2312" w:eastAsia="仿宋_GB2312" w:cs="仿宋_GB2312"/>
          <w:color w:val="000000"/>
          <w:sz w:val="32"/>
          <w:szCs w:val="32"/>
          <w:lang w:eastAsia="zh-CN"/>
        </w:rPr>
        <w:t>核心产业制造业、</w:t>
      </w:r>
      <w:r>
        <w:rPr>
          <w:rFonts w:hint="eastAsia" w:ascii="仿宋_GB2312" w:hAnsi="仿宋_GB2312" w:eastAsia="仿宋_GB2312" w:cs="仿宋_GB2312"/>
          <w:color w:val="000000"/>
          <w:sz w:val="32"/>
          <w:szCs w:val="32"/>
        </w:rPr>
        <w:t>健康医药、精密制造、时尚产业的新供地投资项目，且技术、</w:t>
      </w:r>
      <w:r>
        <w:rPr>
          <w:rFonts w:hint="eastAsia" w:ascii="仿宋_GB2312" w:hAnsi="仿宋_GB2312" w:eastAsia="仿宋_GB2312" w:cs="仿宋_GB2312"/>
          <w:color w:val="auto"/>
          <w:sz w:val="32"/>
          <w:szCs w:val="32"/>
          <w:highlight w:val="none"/>
          <w:lang w:eastAsia="zh-CN"/>
        </w:rPr>
        <w:t>设备和软件实际投资规模达到2000万元（含）以上的，分别按照</w:t>
      </w:r>
      <w:r>
        <w:rPr>
          <w:rFonts w:hint="eastAsia" w:ascii="仿宋_GB2312" w:hAnsi="仿宋_GB2312" w:eastAsia="仿宋_GB2312" w:cs="仿宋_GB2312"/>
          <w:color w:val="auto"/>
          <w:sz w:val="32"/>
          <w:szCs w:val="32"/>
          <w:highlight w:val="none"/>
          <w:lang w:val="en-US" w:eastAsia="zh-CN"/>
        </w:rPr>
        <w:t>15%、8%、8%、6%、4%的标准给予补助。补助范围为《意见》实施之日（含）后完成备案的项目，</w:t>
      </w:r>
      <w:r>
        <w:rPr>
          <w:rFonts w:hint="eastAsia" w:ascii="仿宋_GB2312" w:hAnsi="仿宋_GB2312" w:eastAsia="仿宋_GB2312" w:cs="仿宋_GB2312"/>
          <w:color w:val="auto"/>
          <w:sz w:val="32"/>
          <w:szCs w:val="32"/>
          <w:highlight w:val="none"/>
          <w:lang w:eastAsia="zh-CN"/>
        </w:rPr>
        <w:t>具体技术、设备和软件实际投资计算口径以</w:t>
      </w:r>
      <w:r>
        <w:rPr>
          <w:rFonts w:hint="eastAsia" w:ascii="仿宋_GB2312" w:hAnsi="仿宋_GB2312" w:eastAsia="仿宋_GB2312" w:cs="仿宋_GB2312"/>
          <w:color w:val="auto"/>
          <w:sz w:val="32"/>
          <w:szCs w:val="32"/>
          <w:highlight w:val="none"/>
          <w:lang w:val="en-US" w:eastAsia="zh-CN"/>
        </w:rPr>
        <w:t>会计事务所出具的审计报告及专家验收意见为主要依据。本条款在企业标准地合同约定期限内完成投资强度后予以兑现。</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申报材料：（1）丽水市生态工业和数字经济奖励补助申请表；（2）企业新供地投资项目核准（备案）通知书；（</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）设备购置清单；（</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）会计师事务所出具的相应项目的技术、设备和软件投资审计报告；（</w:t>
      </w:r>
      <w:r>
        <w:rPr>
          <w:rFonts w:hint="eastAsia" w:ascii="仿宋_GB2312" w:hAnsi="仿宋_GB2312" w:eastAsia="仿宋_GB2312" w:cs="仿宋_GB2312"/>
          <w:color w:val="auto"/>
          <w:sz w:val="32"/>
          <w:szCs w:val="32"/>
          <w:highlight w:val="none"/>
          <w:lang w:val="en-US" w:eastAsia="zh-CN"/>
        </w:rPr>
        <w:t>5）专家验收意见；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）其他要求提供的资料。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highlight w:val="darkYellow"/>
          <w:lang w:eastAsia="zh-CN"/>
        </w:rPr>
      </w:pPr>
      <w:r>
        <w:rPr>
          <w:rFonts w:hint="eastAsia" w:ascii="仿宋_GB2312" w:hAnsi="仿宋_GB2312" w:eastAsia="仿宋_GB2312" w:cs="仿宋_GB2312"/>
          <w:sz w:val="32"/>
          <w:szCs w:val="32"/>
          <w:highlight w:val="none"/>
          <w:lang w:val="en-US" w:eastAsia="zh-CN"/>
        </w:rPr>
        <w:t>（二）</w:t>
      </w:r>
      <w:r>
        <w:rPr>
          <w:rFonts w:hint="eastAsia" w:ascii="仿宋_GB2312" w:hAnsi="仿宋_GB2312" w:eastAsia="仿宋_GB2312" w:cs="仿宋_GB2312"/>
          <w:strike w:val="0"/>
          <w:dstrike w:val="0"/>
          <w:sz w:val="32"/>
          <w:szCs w:val="32"/>
          <w:highlight w:val="none"/>
          <w:lang w:val="en-US" w:eastAsia="zh-CN"/>
        </w:rPr>
        <w:t>支持</w:t>
      </w:r>
      <w:r>
        <w:rPr>
          <w:rFonts w:hint="eastAsia" w:ascii="仿宋_GB2312" w:hAnsi="仿宋_GB2312" w:eastAsia="仿宋_GB2312" w:cs="仿宋_GB2312"/>
          <w:strike w:val="0"/>
          <w:dstrike w:val="0"/>
          <w:sz w:val="32"/>
          <w:szCs w:val="32"/>
          <w:highlight w:val="none"/>
          <w:lang w:eastAsia="zh-CN"/>
        </w:rPr>
        <w:t>健康医药</w:t>
      </w:r>
      <w:r>
        <w:rPr>
          <w:rFonts w:hint="eastAsia" w:ascii="仿宋_GB2312" w:hAnsi="仿宋_GB2312" w:eastAsia="仿宋_GB2312" w:cs="仿宋_GB2312"/>
          <w:strike w:val="0"/>
          <w:dstrike w:val="0"/>
          <w:color w:val="000000"/>
          <w:sz w:val="32"/>
          <w:szCs w:val="32"/>
          <w:highlight w:val="none"/>
        </w:rPr>
        <w:t>产业发展</w:t>
      </w:r>
      <w:r>
        <w:rPr>
          <w:rFonts w:hint="eastAsia" w:ascii="仿宋_GB2312" w:hAnsi="仿宋_GB2312" w:eastAsia="仿宋_GB2312" w:cs="仿宋_GB2312"/>
          <w:strike w:val="0"/>
          <w:dstrike w:val="0"/>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lang w:val="en-US" w:eastAsia="zh-CN"/>
        </w:rPr>
        <w:t>1.补助标准：</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）对通过仿制药一致性评价并在市内产业化的品种，除享受省级奖励外，每个品种再给予</w:t>
      </w:r>
      <w:r>
        <w:rPr>
          <w:rFonts w:hint="eastAsia" w:ascii="仿宋_GB2312" w:hAnsi="仿宋_GB2312" w:eastAsia="仿宋_GB2312" w:cs="仿宋_GB2312"/>
          <w:color w:val="000000"/>
          <w:sz w:val="32"/>
          <w:szCs w:val="32"/>
          <w:lang w:val="en-US" w:eastAsia="zh-CN"/>
        </w:rPr>
        <w:t>300万元奖励；</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）对完成临床前研究并取得临床批件的药品予以补助：化学药品1-2类、中药和天然药物、生物制品，每项补助100万元；化学药品3-4类每项补助50万元；（</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）对进入临床试验研究的药品予以补助：中药和天然药物、化学药品、生物制品，分别按Ⅰ、Ⅱ、Ⅲ期每项补助100万元、200万元、300万元，每个药品</w:t>
      </w:r>
      <w:r>
        <w:rPr>
          <w:rFonts w:hint="eastAsia" w:ascii="仿宋_GB2312" w:hAnsi="仿宋_GB2312" w:eastAsia="仿宋_GB2312" w:cs="仿宋_GB2312"/>
          <w:color w:val="000000"/>
          <w:sz w:val="32"/>
          <w:szCs w:val="32"/>
          <w:lang w:val="en-US" w:eastAsia="zh-CN"/>
        </w:rPr>
        <w:t>3期</w:t>
      </w:r>
      <w:r>
        <w:rPr>
          <w:rFonts w:hint="eastAsia" w:ascii="仿宋_GB2312" w:hAnsi="仿宋_GB2312" w:eastAsia="仿宋_GB2312" w:cs="仿宋_GB2312"/>
          <w:color w:val="000000"/>
          <w:sz w:val="32"/>
          <w:szCs w:val="32"/>
          <w:lang w:eastAsia="zh-CN"/>
        </w:rPr>
        <w:t>累计补助不超过</w:t>
      </w:r>
      <w:r>
        <w:rPr>
          <w:rFonts w:hint="eastAsia" w:ascii="仿宋_GB2312" w:hAnsi="仿宋_GB2312" w:eastAsia="仿宋_GB2312" w:cs="仿宋_GB2312"/>
          <w:color w:val="000000"/>
          <w:sz w:val="32"/>
          <w:szCs w:val="32"/>
          <w:lang w:val="en-US" w:eastAsia="zh-CN"/>
        </w:rPr>
        <w:t>500万元；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）对注册在我市获得药品注册批件的企业予以奖励：中药和天然药物、化学药品、生物制品1类予以奖励500万元，其它奖励100万元</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对首次注册并拥有自主知识产权的医疗器械产品予以补助：二类医疗器械单个产品补助50万元、三类医疗器械单个产品补助200万元。</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lang w:eastAsia="zh-CN"/>
        </w:rPr>
        <w:t>申报材料：（1）丽水市生态工业和数字经济奖励补助申请表；</w:t>
      </w: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通过仿制药一致性评价的证明文件，各阶段的批件、证明文件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）其他要求提供的资料。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支持战略性新兴产业发展</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1.新认定的包括：</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首次新增规上</w:t>
      </w:r>
      <w:r>
        <w:rPr>
          <w:rFonts w:hint="eastAsia" w:ascii="仿宋_GB2312" w:hAnsi="仿宋_GB2312" w:eastAsia="仿宋_GB2312" w:cs="仿宋_GB2312"/>
          <w:color w:val="auto"/>
          <w:sz w:val="32"/>
          <w:szCs w:val="32"/>
          <w:highlight w:val="none"/>
          <w:lang w:val="en-US" w:eastAsia="zh-CN"/>
        </w:rPr>
        <w:t>战略性新兴产业</w:t>
      </w:r>
      <w:r>
        <w:rPr>
          <w:rFonts w:hint="eastAsia" w:ascii="仿宋_GB2312" w:hAnsi="仿宋_GB2312" w:eastAsia="仿宋_GB2312" w:cs="仿宋_GB2312"/>
          <w:color w:val="auto"/>
          <w:sz w:val="32"/>
          <w:szCs w:val="32"/>
          <w:lang w:val="en-US" w:eastAsia="zh-CN"/>
        </w:rPr>
        <w:t>且连续两年在库的；</w:t>
      </w: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highlight w:val="none"/>
          <w:lang w:val="en-US" w:eastAsia="zh-CN"/>
        </w:rPr>
        <w:t>行业代码首次从非战略性新兴产业转入战略性新兴产业</w:t>
      </w:r>
      <w:r>
        <w:rPr>
          <w:rFonts w:hint="eastAsia" w:ascii="仿宋_GB2312" w:hAnsi="仿宋_GB2312" w:eastAsia="仿宋_GB2312" w:cs="仿宋_GB2312"/>
          <w:color w:val="auto"/>
          <w:sz w:val="32"/>
          <w:szCs w:val="32"/>
          <w:lang w:val="en-US" w:eastAsia="zh-CN"/>
        </w:rPr>
        <w:t>且连续两年在库的；</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highlight w:val="none"/>
          <w:lang w:eastAsia="zh-CN"/>
        </w:rPr>
        <w:t>3）</w:t>
      </w:r>
      <w:r>
        <w:rPr>
          <w:rFonts w:hint="eastAsia" w:ascii="仿宋_GB2312" w:hAnsi="仿宋_GB2312" w:eastAsia="仿宋_GB2312" w:cs="仿宋_GB2312"/>
          <w:color w:val="auto"/>
          <w:sz w:val="32"/>
          <w:szCs w:val="32"/>
          <w:lang w:val="en-US" w:eastAsia="zh-CN"/>
        </w:rPr>
        <w:t>辖区外转入且连续两年在库的</w:t>
      </w:r>
      <w:r>
        <w:rPr>
          <w:rFonts w:hint="eastAsia" w:ascii="仿宋_GB2312" w:hAnsi="仿宋_GB2312" w:eastAsia="仿宋_GB2312" w:cs="仿宋_GB2312"/>
          <w:color w:val="auto"/>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申报材料：（1）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sz w:val="32"/>
          <w:szCs w:val="32"/>
        </w:rPr>
        <w:t>；（2）</w:t>
      </w:r>
      <w:r>
        <w:rPr>
          <w:rFonts w:hint="eastAsia" w:ascii="仿宋_GB2312" w:hAnsi="仿宋_GB2312" w:eastAsia="仿宋_GB2312" w:cs="仿宋_GB2312"/>
          <w:color w:val="auto"/>
          <w:sz w:val="32"/>
          <w:szCs w:val="32"/>
          <w:highlight w:val="none"/>
          <w:lang w:eastAsia="zh-CN"/>
        </w:rPr>
        <w:t>战略性新兴产业规上企业连续两年在库的证明；</w:t>
      </w:r>
      <w:r>
        <w:rPr>
          <w:rFonts w:hint="eastAsia" w:ascii="仿宋_GB2312" w:hAnsi="仿宋_GB2312" w:eastAsia="仿宋_GB2312" w:cs="仿宋_GB2312"/>
          <w:sz w:val="32"/>
          <w:szCs w:val="32"/>
        </w:rPr>
        <w:t>（</w:t>
      </w:r>
      <w:r>
        <w:rPr>
          <w:rFonts w:hint="eastAsia" w:ascii="仿宋_GB2312" w:hAnsi="仿宋_GB2312" w:eastAsia="仿宋_GB2312" w:cs="仿宋_GB2312"/>
          <w:color w:val="auto"/>
          <w:sz w:val="32"/>
          <w:szCs w:val="32"/>
          <w:highlight w:val="none"/>
          <w:lang w:eastAsia="zh-CN"/>
        </w:rPr>
        <w:t>3）其</w:t>
      </w:r>
      <w:r>
        <w:rPr>
          <w:rFonts w:hint="eastAsia" w:ascii="仿宋_GB2312" w:hAnsi="仿宋_GB2312" w:eastAsia="仿宋_GB2312" w:cs="仿宋_GB2312"/>
          <w:sz w:val="32"/>
          <w:szCs w:val="32"/>
        </w:rPr>
        <w:t>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支持军民融合产业发展</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申</w:t>
      </w:r>
      <w:r>
        <w:rPr>
          <w:rFonts w:hint="eastAsia" w:ascii="仿宋_GB2312" w:hAnsi="仿宋_GB2312" w:eastAsia="仿宋_GB2312" w:cs="仿宋_GB2312"/>
          <w:sz w:val="32"/>
          <w:szCs w:val="32"/>
        </w:rPr>
        <w:t>报材料：（1）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新获得</w:t>
      </w:r>
      <w:r>
        <w:rPr>
          <w:rFonts w:hint="eastAsia" w:ascii="仿宋_GB2312" w:hAnsi="仿宋_GB2312" w:eastAsia="仿宋_GB2312" w:cs="仿宋_GB2312"/>
          <w:sz w:val="32"/>
          <w:szCs w:val="32"/>
        </w:rPr>
        <w:t>武器装备科研生产保密资格证书、武器装备科研生产许可证书、装备承制单位资格证书初级认证</w:t>
      </w:r>
      <w:r>
        <w:rPr>
          <w:rFonts w:hint="eastAsia" w:ascii="仿宋_GB2312" w:hAnsi="仿宋_GB2312" w:eastAsia="仿宋_GB2312" w:cs="仿宋_GB2312"/>
          <w:sz w:val="32"/>
          <w:szCs w:val="32"/>
          <w:lang w:eastAsia="zh-CN"/>
        </w:rPr>
        <w:t>、国家级或省级军民融合示范企业批复文件等相关证书、证明材料；（</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（五）深入实施“雏鹰行动”。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申报材料：（1）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（2）首次评定为国家制造业单项冠军、专精特新“小巨人”、省隐形冠军及培育企业的认定文件，省隐形冠军企业通过复审的证明材料；（</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）新投产升规企业首次非零申报增值税纳税申报表，其中“投产后</w:t>
      </w:r>
      <w:r>
        <w:rPr>
          <w:rFonts w:hint="eastAsia" w:ascii="仿宋_GB2312" w:hAnsi="仿宋_GB2312" w:eastAsia="仿宋_GB2312" w:cs="仿宋_GB2312"/>
          <w:sz w:val="32"/>
          <w:szCs w:val="32"/>
          <w:lang w:val="en-US" w:eastAsia="zh-CN"/>
        </w:rPr>
        <w:t>4个月内</w:t>
      </w:r>
      <w:r>
        <w:rPr>
          <w:rFonts w:hint="eastAsia" w:ascii="仿宋_GB2312" w:hAnsi="仿宋_GB2312" w:eastAsia="仿宋_GB2312" w:cs="仿宋_GB2312"/>
          <w:sz w:val="32"/>
          <w:szCs w:val="32"/>
          <w:lang w:eastAsia="zh-CN"/>
        </w:rPr>
        <w:t>”指投产后次月起</w:t>
      </w:r>
      <w:r>
        <w:rPr>
          <w:rFonts w:hint="eastAsia" w:ascii="仿宋_GB2312" w:hAnsi="仿宋_GB2312" w:eastAsia="仿宋_GB2312" w:cs="仿宋_GB2312"/>
          <w:sz w:val="32"/>
          <w:szCs w:val="32"/>
          <w:lang w:val="en-US" w:eastAsia="zh-CN"/>
        </w:rPr>
        <w:t>4个月内</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 xml:space="preserve">）其他要求提供的资料。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color w:val="000000"/>
          <w:sz w:val="32"/>
          <w:szCs w:val="32"/>
        </w:rPr>
        <w:t>支持创新平台载体建设</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申报材料：</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创新平台载体认定证明材料</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）其他要求提供的资料。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（七）鼓励企业管理创新。</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申报材料：</w:t>
      </w:r>
      <w:r>
        <w:rPr>
          <w:rFonts w:hint="eastAsia" w:ascii="仿宋_GB2312" w:hAnsi="仿宋_GB2312" w:eastAsia="仿宋_GB2312" w:cs="仿宋_GB2312"/>
          <w:sz w:val="32"/>
          <w:szCs w:val="32"/>
          <w:lang w:eastAsia="zh-CN"/>
        </w:rPr>
        <w:t>（1）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合同及支付凭证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）其他要求提供的资料。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eastAsia="zh-CN"/>
        </w:rPr>
        <w:t>（八）</w:t>
      </w:r>
      <w:r>
        <w:rPr>
          <w:rFonts w:hint="eastAsia" w:ascii="仿宋_GB2312" w:hAnsi="仿宋_GB2312" w:eastAsia="仿宋_GB2312" w:cs="仿宋_GB2312"/>
          <w:color w:val="000000"/>
          <w:sz w:val="32"/>
          <w:szCs w:val="32"/>
          <w:highlight w:val="none"/>
        </w:rPr>
        <w:t>支持企业创新研发新产品</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1.首台套重大技术装备或首批次新材料。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申报材料：</w:t>
      </w:r>
      <w:r>
        <w:rPr>
          <w:rFonts w:hint="eastAsia" w:ascii="仿宋_GB2312" w:hAnsi="仿宋_GB2312" w:eastAsia="仿宋_GB2312" w:cs="仿宋_GB2312"/>
          <w:color w:val="000000"/>
          <w:sz w:val="32"/>
          <w:szCs w:val="32"/>
          <w:lang w:eastAsia="zh-CN"/>
        </w:rPr>
        <w:t>（1）丽水市生态工业和数字经济奖励补助申请表；</w:t>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相应</w:t>
      </w:r>
      <w:r>
        <w:rPr>
          <w:rFonts w:hint="eastAsia" w:ascii="仿宋_GB2312" w:hAnsi="仿宋_GB2312" w:eastAsia="仿宋_GB2312" w:cs="仿宋_GB2312"/>
          <w:color w:val="000000"/>
          <w:sz w:val="32"/>
          <w:szCs w:val="32"/>
        </w:rPr>
        <w:t>部门</w:t>
      </w:r>
      <w:r>
        <w:rPr>
          <w:rFonts w:hint="eastAsia" w:ascii="仿宋_GB2312" w:hAnsi="仿宋_GB2312" w:eastAsia="仿宋_GB2312" w:cs="仿宋_GB2312"/>
          <w:color w:val="000000"/>
          <w:sz w:val="32"/>
          <w:szCs w:val="32"/>
          <w:lang w:eastAsia="zh-CN"/>
        </w:rPr>
        <w:t>出具的认定</w:t>
      </w:r>
      <w:r>
        <w:rPr>
          <w:rFonts w:hint="eastAsia" w:ascii="仿宋_GB2312" w:hAnsi="仿宋_GB2312" w:eastAsia="仿宋_GB2312" w:cs="仿宋_GB2312"/>
          <w:color w:val="000000"/>
          <w:sz w:val="32"/>
          <w:szCs w:val="32"/>
        </w:rPr>
        <w:t>证书、文件或公告；</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）首台（套）产品保险合同及支付凭证；（</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其他要求提供的资料。</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2.首版次软件产品。</w:t>
      </w:r>
    </w:p>
    <w:p>
      <w:pPr>
        <w:keepNext w:val="0"/>
        <w:keepLines w:val="0"/>
        <w:pageBreakBefore w:val="0"/>
        <w:widowControl w:val="0"/>
        <w:numPr>
          <w:ilvl w:val="-1"/>
          <w:numId w:val="0"/>
        </w:numPr>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申报材料：（1）</w:t>
      </w:r>
      <w:r>
        <w:rPr>
          <w:rFonts w:hint="eastAsia" w:ascii="仿宋_GB2312" w:hAnsi="仿宋_GB2312" w:eastAsia="仿宋_GB2312" w:cs="仿宋_GB2312"/>
          <w:color w:val="000000"/>
          <w:sz w:val="32"/>
          <w:szCs w:val="32"/>
          <w:lang w:eastAsia="zh-CN"/>
        </w:rPr>
        <w:t>丽水市生态工业和数字经济奖励补助申请表；</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相应</w:t>
      </w:r>
      <w:r>
        <w:rPr>
          <w:rFonts w:hint="eastAsia" w:ascii="仿宋_GB2312" w:hAnsi="仿宋_GB2312" w:eastAsia="仿宋_GB2312" w:cs="仿宋_GB2312"/>
          <w:color w:val="000000"/>
          <w:sz w:val="32"/>
          <w:szCs w:val="32"/>
        </w:rPr>
        <w:t>部门</w:t>
      </w:r>
      <w:r>
        <w:rPr>
          <w:rFonts w:hint="eastAsia" w:ascii="仿宋_GB2312" w:hAnsi="仿宋_GB2312" w:eastAsia="仿宋_GB2312" w:cs="仿宋_GB2312"/>
          <w:color w:val="000000"/>
          <w:sz w:val="32"/>
          <w:szCs w:val="32"/>
          <w:lang w:eastAsia="zh-CN"/>
        </w:rPr>
        <w:t>出具的认定证书、文件或公告；（</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相应的软件著作权登记证书；（</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）会计师事务所出具的首版次软件产品实际销售（服务）收入专项审计报告；（</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highlight w:val="none"/>
        </w:rPr>
        <w:t>新产品</w:t>
      </w:r>
      <w:r>
        <w:rPr>
          <w:rFonts w:hint="eastAsia" w:ascii="仿宋_GB2312" w:hAnsi="仿宋_GB2312" w:eastAsia="仿宋_GB2312" w:cs="仿宋_GB2312"/>
          <w:color w:val="000000"/>
          <w:sz w:val="32"/>
          <w:szCs w:val="32"/>
          <w:highlight w:val="none"/>
          <w:lang w:eastAsia="zh-CN"/>
        </w:rPr>
        <w:t>及“浙江制造精品”产品。</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申报材料：</w:t>
      </w:r>
      <w:r>
        <w:rPr>
          <w:rFonts w:hint="eastAsia" w:ascii="仿宋_GB2312" w:hAnsi="仿宋_GB2312" w:eastAsia="仿宋_GB2312" w:cs="仿宋_GB2312"/>
          <w:color w:val="000000"/>
          <w:sz w:val="32"/>
          <w:szCs w:val="32"/>
          <w:lang w:eastAsia="zh-CN"/>
        </w:rPr>
        <w:t>（1）丽水市生态工业和数字经济奖励补助申请表；</w:t>
      </w:r>
      <w:r>
        <w:rPr>
          <w:rFonts w:hint="eastAsia"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lang w:eastAsia="zh-CN"/>
        </w:rPr>
        <w:t>相应</w:t>
      </w:r>
      <w:r>
        <w:rPr>
          <w:rFonts w:hint="eastAsia" w:ascii="仿宋_GB2312" w:hAnsi="仿宋_GB2312" w:eastAsia="仿宋_GB2312" w:cs="仿宋_GB2312"/>
          <w:color w:val="000000"/>
          <w:sz w:val="32"/>
          <w:szCs w:val="32"/>
        </w:rPr>
        <w:t>部门</w:t>
      </w:r>
      <w:r>
        <w:rPr>
          <w:rFonts w:hint="eastAsia" w:ascii="仿宋_GB2312" w:hAnsi="仿宋_GB2312" w:eastAsia="仿宋_GB2312" w:cs="仿宋_GB2312"/>
          <w:color w:val="000000"/>
          <w:sz w:val="32"/>
          <w:szCs w:val="32"/>
          <w:lang w:eastAsia="zh-CN"/>
        </w:rPr>
        <w:t>出具的认定</w:t>
      </w:r>
      <w:r>
        <w:rPr>
          <w:rFonts w:hint="eastAsia" w:ascii="仿宋_GB2312" w:hAnsi="仿宋_GB2312" w:eastAsia="仿宋_GB2312" w:cs="仿宋_GB2312"/>
          <w:color w:val="000000"/>
          <w:sz w:val="32"/>
          <w:szCs w:val="32"/>
        </w:rPr>
        <w:t>证书、文件或公告；</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（九）</w:t>
      </w:r>
      <w:r>
        <w:rPr>
          <w:rFonts w:hint="eastAsia" w:ascii="仿宋_GB2312" w:hAnsi="仿宋_GB2312" w:eastAsia="仿宋_GB2312" w:cs="仿宋_GB2312"/>
          <w:color w:val="000000"/>
          <w:sz w:val="32"/>
          <w:szCs w:val="32"/>
        </w:rPr>
        <w:t>支持发展工业设计</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sz w:val="32"/>
          <w:szCs w:val="32"/>
          <w:highlight w:val="yellow"/>
        </w:rPr>
      </w:pPr>
      <w:r>
        <w:rPr>
          <w:rFonts w:hint="eastAsia" w:ascii="仿宋_GB2312" w:hAnsi="仿宋_GB2312" w:eastAsia="仿宋_GB2312" w:cs="仿宋_GB2312"/>
          <w:sz w:val="32"/>
          <w:szCs w:val="32"/>
          <w:highlight w:val="none"/>
          <w:lang w:eastAsia="zh-CN"/>
        </w:rPr>
        <w:t>申报材料</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000000"/>
          <w:sz w:val="32"/>
          <w:szCs w:val="32"/>
          <w:lang w:eastAsia="zh-CN"/>
        </w:rPr>
        <w:t>（1）丽水市生态工业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lang w:eastAsia="zh-CN"/>
        </w:rPr>
        <w:t>奖励补助申请表；</w:t>
      </w: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color w:val="000000"/>
          <w:sz w:val="32"/>
          <w:szCs w:val="32"/>
          <w:lang w:eastAsia="zh-CN"/>
        </w:rPr>
        <w:t>认定文件或公告</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）实验设备、设计软件和数据库等相关投入的</w:t>
      </w:r>
      <w:r>
        <w:rPr>
          <w:rFonts w:hint="eastAsia" w:ascii="仿宋_GB2312" w:hAnsi="仿宋_GB2312" w:eastAsia="仿宋_GB2312" w:cs="仿宋_GB2312"/>
          <w:color w:val="auto"/>
          <w:sz w:val="32"/>
          <w:szCs w:val="32"/>
          <w:highlight w:val="none"/>
          <w:lang w:eastAsia="zh-CN"/>
        </w:rPr>
        <w:t>购置清单；（</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）会计师事务所出具的相应项目的投资审计报告；</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）市级及以上政府和省级部门组织或认可的</w:t>
      </w:r>
      <w:r>
        <w:rPr>
          <w:rFonts w:hint="eastAsia" w:ascii="仿宋_GB2312" w:hAnsi="仿宋_GB2312" w:eastAsia="仿宋_GB2312" w:cs="仿宋_GB2312"/>
          <w:sz w:val="32"/>
          <w:szCs w:val="32"/>
          <w:highlight w:val="none"/>
          <w:lang w:eastAsia="zh-CN"/>
        </w:rPr>
        <w:t>工业设计大赛、设计对接、培训、展览展示等活动的</w:t>
      </w:r>
      <w:r>
        <w:rPr>
          <w:rFonts w:hint="eastAsia" w:ascii="仿宋_GB2312" w:hAnsi="仿宋_GB2312" w:eastAsia="仿宋_GB2312" w:cs="仿宋_GB2312"/>
          <w:sz w:val="32"/>
          <w:szCs w:val="32"/>
          <w:highlight w:val="none"/>
        </w:rPr>
        <w:t>文件或通知复印件</w:t>
      </w:r>
      <w:r>
        <w:rPr>
          <w:rFonts w:hint="eastAsia" w:ascii="仿宋_GB2312" w:hAnsi="仿宋_GB2312" w:eastAsia="仿宋_GB2312" w:cs="仿宋_GB2312"/>
          <w:sz w:val="32"/>
          <w:szCs w:val="32"/>
          <w:highlight w:val="none"/>
          <w:lang w:eastAsia="zh-CN"/>
        </w:rPr>
        <w:t>，及有关活动的照片、经费支出的合同、支付明细和凭证；（</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lang w:eastAsia="zh-CN"/>
        </w:rPr>
        <w:t>）工业设计大赛活动获奖证明；</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7</w:t>
      </w:r>
      <w:r>
        <w:rPr>
          <w:rFonts w:hint="eastAsia" w:ascii="仿宋_GB2312" w:hAnsi="仿宋_GB2312" w:eastAsia="仿宋_GB2312" w:cs="仿宋_GB2312"/>
          <w:sz w:val="32"/>
          <w:szCs w:val="32"/>
          <w:highlight w:val="none"/>
        </w:rPr>
        <w:t xml:space="preserve">）其他要求提供的资料。 </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000000"/>
          <w:sz w:val="32"/>
          <w:szCs w:val="32"/>
          <w:highlight w:val="none"/>
          <w:lang w:eastAsia="zh-CN"/>
        </w:rPr>
        <w:t>（十）</w:t>
      </w:r>
      <w:r>
        <w:rPr>
          <w:rFonts w:hint="eastAsia" w:ascii="仿宋_GB2312" w:hAnsi="仿宋_GB2312" w:eastAsia="仿宋_GB2312" w:cs="仿宋_GB2312"/>
          <w:color w:val="000000"/>
          <w:sz w:val="32"/>
          <w:szCs w:val="32"/>
          <w:highlight w:val="none"/>
        </w:rPr>
        <w:t>支</w:t>
      </w:r>
      <w:r>
        <w:rPr>
          <w:rFonts w:hint="eastAsia" w:ascii="仿宋_GB2312" w:hAnsi="仿宋_GB2312" w:eastAsia="仿宋_GB2312" w:cs="仿宋_GB2312"/>
          <w:color w:val="auto"/>
          <w:sz w:val="32"/>
          <w:szCs w:val="32"/>
          <w:highlight w:val="none"/>
        </w:rPr>
        <w:t>持企业数字化智能化技术改造</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1.补助对象：</w:t>
      </w:r>
      <w:r>
        <w:rPr>
          <w:rFonts w:hint="eastAsia" w:ascii="仿宋_GB2312" w:hAnsi="仿宋_GB2312" w:eastAsia="仿宋_GB2312" w:cs="仿宋_GB2312"/>
          <w:sz w:val="32"/>
          <w:szCs w:val="32"/>
          <w:highlight w:val="none"/>
          <w:lang w:eastAsia="zh-CN"/>
        </w:rPr>
        <w:t>自《意见》实施之日（含）后完成备案的技术改造投资项目。其中智能制造、数字化转型试点示范项目须是市级经信部门遴选公布的入围项目，“数字化车间”“智能工厂”“未来工厂”须是省级经信部门评审公布的入围项目。（1）租赁项目的技术、设备和软件投资额；（2）自有用地项目在完成标准地投资强度后，对其超过标准地投资强度的投资额予以兑付，未完</w:t>
      </w:r>
      <w:r>
        <w:rPr>
          <w:rFonts w:hint="eastAsia" w:ascii="仿宋_GB2312" w:hAnsi="仿宋_GB2312" w:eastAsia="仿宋_GB2312" w:cs="仿宋_GB2312"/>
          <w:color w:val="000000"/>
          <w:sz w:val="32"/>
          <w:szCs w:val="32"/>
          <w:lang w:eastAsia="zh-CN"/>
        </w:rPr>
        <w:t>成标准地投资强度的企业不予兑现本条款。（</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）具体技术、设备和软件实际投资计算口径以</w:t>
      </w:r>
      <w:r>
        <w:rPr>
          <w:rFonts w:hint="eastAsia" w:ascii="仿宋_GB2312" w:hAnsi="仿宋_GB2312" w:eastAsia="仿宋_GB2312" w:cs="仿宋_GB2312"/>
          <w:color w:val="000000"/>
          <w:sz w:val="32"/>
          <w:szCs w:val="32"/>
          <w:lang w:val="en-US" w:eastAsia="zh-CN"/>
        </w:rPr>
        <w:t>以会计事务所出具的审计报告及专家验收意见为主要依据。</w:t>
      </w:r>
      <w:r>
        <w:rPr>
          <w:rFonts w:hint="eastAsia" w:ascii="仿宋_GB2312" w:hAnsi="仿宋_GB2312" w:eastAsia="仿宋_GB2312" w:cs="仿宋_GB2312"/>
          <w:color w:val="000000"/>
          <w:sz w:val="32"/>
          <w:szCs w:val="32"/>
          <w:lang w:eastAsia="zh-CN"/>
        </w:rPr>
        <w:t>同一项目同时享受上级补助的，本级与上级补助之和不超过项目的技术、设备和软件</w:t>
      </w:r>
      <w:r>
        <w:rPr>
          <w:rFonts w:hint="eastAsia" w:ascii="仿宋_GB2312" w:hAnsi="仿宋_GB2312" w:eastAsia="仿宋_GB2312" w:cs="仿宋_GB2312"/>
          <w:sz w:val="32"/>
          <w:szCs w:val="32"/>
          <w:highlight w:val="none"/>
        </w:rPr>
        <w:t>投资额</w:t>
      </w:r>
      <w:r>
        <w:rPr>
          <w:rFonts w:hint="eastAsia" w:ascii="仿宋_GB2312" w:hAnsi="仿宋_GB2312" w:eastAsia="仿宋_GB2312" w:cs="仿宋_GB2312"/>
          <w:sz w:val="32"/>
          <w:szCs w:val="32"/>
          <w:highlight w:val="none"/>
          <w:lang w:eastAsia="zh-CN"/>
        </w:rPr>
        <w:t>的</w:t>
      </w:r>
      <w:r>
        <w:rPr>
          <w:rFonts w:hint="eastAsia" w:ascii="仿宋_GB2312" w:hAnsi="仿宋_GB2312" w:eastAsia="仿宋_GB2312" w:cs="仿宋_GB2312"/>
          <w:sz w:val="32"/>
          <w:szCs w:val="32"/>
          <w:highlight w:val="none"/>
          <w:lang w:val="en-US" w:eastAsia="zh-CN"/>
        </w:rPr>
        <w:t>50%。</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申报材料</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000000"/>
          <w:sz w:val="32"/>
          <w:szCs w:val="32"/>
          <w:lang w:eastAsia="zh-CN"/>
        </w:rPr>
        <w:t>（1）丽水市生态工业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lang w:eastAsia="zh-CN"/>
        </w:rPr>
        <w:t>奖励补助申请表；</w:t>
      </w: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color w:val="000000"/>
          <w:sz w:val="32"/>
          <w:szCs w:val="32"/>
          <w:lang w:eastAsia="zh-CN"/>
        </w:rPr>
        <w:t>企业技术改造投资项目核准（备案）通知书；（</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）会计师事务所出具的相应项目的设备及技术、软件投资审计报告；（</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）列入</w:t>
      </w:r>
      <w:r>
        <w:rPr>
          <w:rFonts w:hint="eastAsia" w:ascii="仿宋_GB2312" w:hAnsi="仿宋_GB2312" w:eastAsia="仿宋_GB2312" w:cs="仿宋_GB2312"/>
          <w:color w:val="auto"/>
          <w:sz w:val="32"/>
          <w:szCs w:val="32"/>
          <w:highlight w:val="none"/>
          <w:lang w:val="en-US" w:eastAsia="zh-CN"/>
        </w:rPr>
        <w:t>市级及以上的</w:t>
      </w:r>
      <w:r>
        <w:rPr>
          <w:rFonts w:hint="eastAsia" w:ascii="仿宋_GB2312" w:hAnsi="仿宋_GB2312" w:eastAsia="仿宋_GB2312" w:cs="仿宋_GB2312"/>
          <w:color w:val="000000"/>
          <w:sz w:val="32"/>
          <w:szCs w:val="32"/>
          <w:lang w:eastAsia="zh-CN"/>
        </w:rPr>
        <w:t>智能制造、数字化转型试点示范项目的认定文件、公告等证明材料；（</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）工业机器人和智能化制造系统购置合同、产品清单和支付凭证；</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6</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auto"/>
          <w:sz w:val="32"/>
          <w:szCs w:val="32"/>
          <w:highlight w:val="none"/>
          <w:lang w:val="en-US" w:eastAsia="zh-CN"/>
        </w:rPr>
        <w:t>专家验收意见；</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sz w:val="32"/>
          <w:szCs w:val="32"/>
          <w:highlight w:val="none"/>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（十一）支持小微企业数字化提升。</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1.小微企业自主实施数字化改造。</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申报材料：（1）丽水市生态工业和数字经济奖励补助申请表；（2）企业最新年度利润表及年末资产负债表；（</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）小微企业数字化改造备案通知书；（</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）会计师事务所出具的系统软件及配套硬件实际投入专项审计报告；（</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2.行业、区域数字化改造服务商或工业互联网平台。</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eastAsia="zh-CN"/>
        </w:rPr>
        <w:t>单家企业服务费认定标准：首年度服务费不足</w:t>
      </w:r>
      <w:r>
        <w:rPr>
          <w:rFonts w:hint="eastAsia" w:ascii="仿宋_GB2312" w:hAnsi="仿宋_GB2312" w:eastAsia="仿宋_GB2312" w:cs="仿宋_GB2312"/>
          <w:color w:val="000000"/>
          <w:sz w:val="32"/>
          <w:szCs w:val="32"/>
          <w:lang w:val="en-US" w:eastAsia="zh-CN"/>
        </w:rPr>
        <w:t>6万元的，按照实际服务费认定；首年度服务费6万元及以上的，按照6万元认定。</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申报材料：（1）丽水市生态工业和数字经济奖励补助申请表；（2）地方主管部门出具的</w:t>
      </w:r>
      <w:r>
        <w:rPr>
          <w:rFonts w:hint="eastAsia" w:ascii="仿宋_GB2312" w:hAnsi="仿宋_GB2312" w:eastAsia="仿宋_GB2312" w:cs="仿宋_GB2312"/>
          <w:color w:val="000000"/>
          <w:sz w:val="32"/>
          <w:szCs w:val="32"/>
          <w:lang w:val="en-US" w:eastAsia="zh-CN"/>
        </w:rPr>
        <w:t>行业、区域数字化改造服务备案通知书或与地方</w:t>
      </w:r>
      <w:r>
        <w:rPr>
          <w:rFonts w:hint="eastAsia" w:ascii="仿宋_GB2312" w:hAnsi="仿宋_GB2312" w:eastAsia="仿宋_GB2312" w:cs="仿宋_GB2312"/>
          <w:color w:val="000000"/>
          <w:sz w:val="32"/>
          <w:szCs w:val="32"/>
          <w:lang w:eastAsia="zh-CN"/>
        </w:rPr>
        <w:t>主管部门签订的</w:t>
      </w:r>
      <w:r>
        <w:rPr>
          <w:rFonts w:hint="eastAsia" w:ascii="仿宋_GB2312" w:hAnsi="仿宋_GB2312" w:eastAsia="仿宋_GB2312" w:cs="仿宋_GB2312"/>
          <w:color w:val="000000"/>
          <w:sz w:val="32"/>
          <w:szCs w:val="32"/>
          <w:lang w:val="en-US" w:eastAsia="zh-CN"/>
        </w:rPr>
        <w:t>行业、区域数字化改造服务合作协议</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）具有自主知识产权的证明资料；（</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）实际服务行业（区域）企业及服务项目清单；（</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）会计师事务所出具的服务行业（区域）企业首年度实际服务费专项审计报告；（</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（十二）支持企业两化融合及深度上云。</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奖励范围：国家两化融合管理体系、省级工业互联网平台、行业云应用示范平台、上云标杆企业、大数据应用示范企业、制造业与互联网融合发展试点示范企业等，如遇因业态演进，上级主管部门发文使用新名称的，给予同类演进名称同等额度奖励。</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1）丽水市生态工业和数字经济奖励补助申请表；（2）国家两化融合管理体系评定证书、列入省级工业互联网平台、行业云应用示范平台、上云标杆企业、大数据应用示范企业、制造业与互联网融合发展试点示范企业等文件或公告；（</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（十三）实施市级数字经济示范项目。</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申报材料：（1）丽水市生态工业和数字经济奖励补助申请表；（2）市级数字经济示范项目立项文件；（</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）项目验收报告；（</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lang w:eastAsia="zh-CN"/>
        </w:rPr>
        <w:t>）会计师事务所出具的含有项目设备及信息化软硬件（含研发人力成本）实际投入内容的专项审计报告；（</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（十四）培育壮大数字经济骨干企业。</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1.数字经济企业准独角兽、独角兽百强奖励。</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）丽水市生态工业和数字经济奖励补助申请表；（</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）准独角兽、独角兽国家权威榜单等证明资料；（</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数字经济领域荣誉称号奖励。</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lang w:eastAsia="zh-CN"/>
        </w:rPr>
        <w:t>）丽水市生态工业和数字经济奖励补助申请表；（</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国家鼓励的重点集成电路设计企业和软件企业清单文件或公告、</w:t>
      </w:r>
      <w:r>
        <w:rPr>
          <w:rFonts w:hint="eastAsia" w:ascii="仿宋_GB2312" w:hAnsi="仿宋_GB2312" w:eastAsia="仿宋_GB2312" w:cs="仿宋_GB2312"/>
          <w:color w:val="000000"/>
          <w:sz w:val="32"/>
          <w:szCs w:val="32"/>
          <w:lang w:eastAsia="zh-CN"/>
        </w:rPr>
        <w:t>相应荣誉称号的证书、文件、牌匾等；（</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（十五）对省级以上数字经济项目配套奖励。</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申报材料：（1）丽水市生态工业和数字经济奖励补助申请表；（2）获得省级以上数字经济类财政资金奖补的项目、创新载体、标准、奖项等证明文件；（</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（十六）</w:t>
      </w:r>
      <w:r>
        <w:rPr>
          <w:rFonts w:hint="eastAsia" w:ascii="仿宋_GB2312" w:hAnsi="仿宋_GB2312" w:eastAsia="仿宋_GB2312" w:cs="仿宋_GB2312"/>
          <w:color w:val="auto"/>
          <w:sz w:val="32"/>
          <w:szCs w:val="32"/>
        </w:rPr>
        <w:t>支持企业参加展会活动</w:t>
      </w:r>
      <w:r>
        <w:rPr>
          <w:rFonts w:hint="eastAsia" w:ascii="仿宋_GB2312" w:hAnsi="仿宋_GB2312" w:eastAsia="仿宋_GB2312" w:cs="仿宋_GB2312"/>
          <w:color w:val="auto"/>
          <w:sz w:val="32"/>
          <w:szCs w:val="32"/>
          <w:lang w:eastAsia="zh-CN"/>
        </w:rPr>
        <w:t>。</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申报材料：</w:t>
      </w:r>
      <w:r>
        <w:rPr>
          <w:rFonts w:hint="eastAsia" w:ascii="仿宋_GB2312" w:hAnsi="仿宋_GB2312" w:eastAsia="仿宋_GB2312" w:cs="仿宋_GB2312"/>
          <w:color w:val="000000"/>
          <w:sz w:val="32"/>
          <w:szCs w:val="32"/>
          <w:lang w:eastAsia="zh-CN"/>
        </w:rPr>
        <w:t>（1）丽水市生态工业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lang w:eastAsia="zh-CN"/>
        </w:rPr>
        <w:t>奖励补助申请表；</w:t>
      </w:r>
      <w:r>
        <w:rPr>
          <w:rFonts w:hint="eastAsia" w:ascii="仿宋_GB2312" w:hAnsi="仿宋_GB2312" w:eastAsia="仿宋_GB2312" w:cs="仿宋_GB2312"/>
          <w:color w:val="auto"/>
          <w:sz w:val="32"/>
          <w:szCs w:val="32"/>
        </w:rPr>
        <w:t>（2）市级及以上政府和省级部门组织或认可的参展文件或通知复印件；（</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）与展方签订的展位合同复印件（需注明摊位费、摊位面积及个数）、费用支付付款凭证和发票复印件、展位照片；（</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lang w:eastAsia="zh-CN"/>
        </w:rPr>
        <w:t>（十七</w:t>
      </w:r>
      <w:r>
        <w:rPr>
          <w:rFonts w:hint="eastAsia" w:ascii="仿宋_GB2312" w:hAnsi="仿宋_GB2312" w:eastAsia="仿宋_GB2312" w:cs="仿宋_GB2312"/>
          <w:color w:val="000000"/>
          <w:sz w:val="32"/>
          <w:szCs w:val="32"/>
          <w:highlight w:val="none"/>
          <w:lang w:eastAsia="zh-CN"/>
        </w:rPr>
        <w:t>）支</w:t>
      </w:r>
      <w:r>
        <w:rPr>
          <w:rFonts w:hint="eastAsia" w:ascii="仿宋_GB2312" w:hAnsi="仿宋_GB2312" w:eastAsia="仿宋_GB2312" w:cs="仿宋_GB2312"/>
          <w:color w:val="000000"/>
          <w:sz w:val="32"/>
          <w:szCs w:val="32"/>
          <w:highlight w:val="none"/>
        </w:rPr>
        <w:t>持绿色制造工程</w:t>
      </w:r>
      <w:r>
        <w:rPr>
          <w:rFonts w:hint="eastAsia" w:ascii="仿宋_GB2312" w:hAnsi="仿宋_GB2312" w:eastAsia="仿宋_GB2312" w:cs="仿宋_GB2312"/>
          <w:color w:val="00000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申报材料：（1）</w:t>
      </w:r>
      <w:r>
        <w:rPr>
          <w:rFonts w:hint="eastAsia" w:ascii="仿宋_GB2312" w:hAnsi="仿宋_GB2312" w:eastAsia="仿宋_GB2312" w:cs="仿宋_GB2312"/>
          <w:color w:val="000000"/>
          <w:sz w:val="32"/>
          <w:szCs w:val="32"/>
          <w:lang w:eastAsia="zh-CN"/>
        </w:rPr>
        <w:t>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lang w:eastAsia="zh-CN"/>
        </w:rPr>
        <w:t>奖励补助申请表；</w:t>
      </w:r>
      <w:r>
        <w:rPr>
          <w:rFonts w:hint="eastAsia" w:ascii="仿宋_GB2312" w:hAnsi="仿宋_GB2312" w:eastAsia="仿宋_GB2312" w:cs="仿宋_GB2312"/>
          <w:sz w:val="32"/>
          <w:szCs w:val="32"/>
          <w:highlight w:val="none"/>
        </w:rPr>
        <w:t>（2）列入国家级或省级绿色工厂、绿色（设计）产品、绿色供应链示范名单</w:t>
      </w:r>
      <w:r>
        <w:rPr>
          <w:rFonts w:hint="eastAsia" w:ascii="仿宋_GB2312" w:hAnsi="仿宋_GB2312" w:eastAsia="仿宋_GB2312" w:cs="仿宋_GB2312"/>
          <w:sz w:val="32"/>
          <w:szCs w:val="32"/>
          <w:highlight w:val="none"/>
          <w:lang w:eastAsia="zh-CN"/>
        </w:rPr>
        <w:t>的证明文件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lang w:eastAsia="zh-CN"/>
        </w:rPr>
        <w:t>）通过清洁生产审核验收、省级节水型企业、节水标杆企业的证明文件；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（十八）</w:t>
      </w:r>
      <w:r>
        <w:rPr>
          <w:rFonts w:hint="eastAsia" w:ascii="仿宋_GB2312" w:hAnsi="仿宋_GB2312" w:eastAsia="仿宋_GB2312" w:cs="仿宋_GB2312"/>
          <w:color w:val="000000"/>
          <w:sz w:val="32"/>
          <w:szCs w:val="32"/>
        </w:rPr>
        <w:t>支持企业淘汰落后产能</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FF0000"/>
          <w:sz w:val="32"/>
          <w:szCs w:val="32"/>
          <w:lang w:eastAsia="zh-CN"/>
        </w:rPr>
      </w:pPr>
      <w:r>
        <w:rPr>
          <w:rFonts w:hint="eastAsia" w:ascii="仿宋_GB2312" w:hAnsi="仿宋_GB2312" w:eastAsia="仿宋_GB2312" w:cs="仿宋_GB2312"/>
          <w:sz w:val="32"/>
          <w:szCs w:val="32"/>
        </w:rPr>
        <w:t>申报材料：（1）</w:t>
      </w:r>
      <w:r>
        <w:rPr>
          <w:rFonts w:hint="eastAsia" w:ascii="仿宋_GB2312" w:hAnsi="仿宋_GB2312" w:eastAsia="仿宋_GB2312" w:cs="仿宋_GB2312"/>
          <w:color w:val="000000"/>
          <w:sz w:val="32"/>
          <w:szCs w:val="32"/>
          <w:lang w:eastAsia="zh-CN"/>
        </w:rPr>
        <w:t>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lang w:eastAsia="zh-CN"/>
        </w:rPr>
        <w:t>奖励补助申请表；</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列入计划的文件及完成落后产能淘汰验收报告</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）其他要求提供的资料。</w:t>
      </w:r>
    </w:p>
    <w:p>
      <w:pPr>
        <w:keepNext w:val="0"/>
        <w:keepLines w:val="0"/>
        <w:pageBreakBefore w:val="0"/>
        <w:widowControl w:val="0"/>
        <w:kinsoku/>
        <w:wordWrap/>
        <w:overflowPunct/>
        <w:topLinePunct w:val="0"/>
        <w:autoSpaceDE/>
        <w:autoSpaceDN/>
        <w:bidi w:val="0"/>
        <w:snapToGrid/>
        <w:spacing w:line="580" w:lineRule="exact"/>
        <w:ind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（十九）</w:t>
      </w:r>
      <w:r>
        <w:rPr>
          <w:rFonts w:hint="eastAsia" w:ascii="仿宋_GB2312" w:hAnsi="仿宋_GB2312" w:eastAsia="仿宋_GB2312" w:cs="仿宋_GB2312"/>
          <w:color w:val="000000"/>
          <w:sz w:val="32"/>
          <w:szCs w:val="32"/>
        </w:rPr>
        <w:t>支持企业安全生产管理提升</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申报材料：（1）</w:t>
      </w:r>
      <w:r>
        <w:rPr>
          <w:rFonts w:hint="eastAsia" w:ascii="仿宋_GB2312" w:hAnsi="仿宋_GB2312" w:eastAsia="仿宋_GB2312" w:cs="仿宋_GB2312"/>
          <w:color w:val="000000"/>
          <w:sz w:val="32"/>
          <w:szCs w:val="32"/>
          <w:lang w:eastAsia="zh-CN"/>
        </w:rPr>
        <w:t>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lang w:eastAsia="zh-CN"/>
        </w:rPr>
        <w:t>奖励补助申请表</w:t>
      </w: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安全生产标准化验收证明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）浙江省食品诚信管理体系验收证明；</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）其他要求提供的资料。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color w:val="000000"/>
          <w:sz w:val="32"/>
          <w:szCs w:val="32"/>
          <w:lang w:eastAsia="zh-CN"/>
        </w:rPr>
        <w:t>二十</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深化“亩均论英雄”改革激励约束。</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1.补助标准。企业在三年内只享受一次市级“亩均效益”领跑者奖励。同时获评省级和市级“亩均效益”领跑者企业，按就高原则申报奖励。</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申报材料</w:t>
      </w:r>
      <w:r>
        <w:rPr>
          <w:rFonts w:hint="eastAsia" w:ascii="仿宋_GB2312" w:hAnsi="仿宋_GB2312" w:eastAsia="仿宋_GB2312" w:cs="仿宋_GB2312"/>
          <w:sz w:val="32"/>
          <w:szCs w:val="32"/>
          <w:highlight w:val="none"/>
        </w:rPr>
        <w:t>：（1）</w:t>
      </w:r>
      <w:r>
        <w:rPr>
          <w:rFonts w:hint="eastAsia" w:ascii="仿宋_GB2312" w:hAnsi="仿宋_GB2312" w:eastAsia="仿宋_GB2312" w:cs="仿宋_GB2312"/>
          <w:color w:val="000000"/>
          <w:sz w:val="32"/>
          <w:szCs w:val="32"/>
          <w:highlight w:val="none"/>
          <w:lang w:eastAsia="zh-CN"/>
        </w:rPr>
        <w:t>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highlight w:val="none"/>
          <w:lang w:eastAsia="zh-CN"/>
        </w:rPr>
        <w:t>奖励补助申请表</w:t>
      </w: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color w:val="000000"/>
          <w:sz w:val="32"/>
          <w:szCs w:val="32"/>
          <w:highlight w:val="none"/>
        </w:rPr>
        <w:t>获评省级制造业及分行业“亩均效益”领跑者企业</w:t>
      </w:r>
      <w:r>
        <w:rPr>
          <w:rFonts w:hint="eastAsia" w:ascii="仿宋_GB2312" w:hAnsi="仿宋_GB2312" w:eastAsia="仿宋_GB2312" w:cs="仿宋_GB2312"/>
          <w:sz w:val="32"/>
          <w:szCs w:val="32"/>
          <w:highlight w:val="none"/>
        </w:rPr>
        <w:t>证明材料；（</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）其他要求提供的资料。</w:t>
      </w:r>
    </w:p>
    <w:p>
      <w:pPr>
        <w:keepNext w:val="0"/>
        <w:keepLines w:val="0"/>
        <w:pageBreakBefore w:val="0"/>
        <w:widowControl w:val="0"/>
        <w:kinsoku/>
        <w:wordWrap/>
        <w:overflowPunct/>
        <w:topLinePunct w:val="0"/>
        <w:autoSpaceDE/>
        <w:autoSpaceDN/>
        <w:bidi w:val="0"/>
        <w:adjustRightInd w:val="0"/>
        <w:snapToGrid/>
        <w:spacing w:line="580" w:lineRule="exact"/>
        <w:ind w:firstLine="645"/>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t>（二十一）支持</w:t>
      </w:r>
      <w:r>
        <w:rPr>
          <w:rFonts w:hint="eastAsia" w:ascii="仿宋_GB2312" w:hAnsi="仿宋_GB2312" w:eastAsia="仿宋_GB2312" w:cs="仿宋_GB2312"/>
          <w:color w:val="000000"/>
          <w:sz w:val="32"/>
          <w:szCs w:val="32"/>
        </w:rPr>
        <w:t>推进小微企业园建设提升</w:t>
      </w:r>
      <w:r>
        <w:rPr>
          <w:rFonts w:hint="eastAsia" w:ascii="仿宋_GB2312" w:hAnsi="仿宋_GB2312"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申报材料：（1）</w:t>
      </w:r>
      <w:r>
        <w:rPr>
          <w:rFonts w:hint="eastAsia" w:ascii="仿宋_GB2312" w:hAnsi="仿宋_GB2312" w:eastAsia="仿宋_GB2312" w:cs="仿宋_GB2312"/>
          <w:color w:val="000000"/>
          <w:sz w:val="32"/>
          <w:szCs w:val="32"/>
          <w:highlight w:val="none"/>
          <w:lang w:eastAsia="zh-CN"/>
        </w:rPr>
        <w:t>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highlight w:val="none"/>
          <w:lang w:eastAsia="zh-CN"/>
        </w:rPr>
        <w:t>奖励补助申请表</w:t>
      </w: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sz w:val="32"/>
          <w:szCs w:val="32"/>
          <w:highlight w:val="none"/>
          <w:lang w:eastAsia="zh-CN"/>
        </w:rPr>
        <w:t>国家级、省级</w:t>
      </w:r>
      <w:r>
        <w:rPr>
          <w:rFonts w:hint="eastAsia" w:ascii="仿宋_GB2312" w:hAnsi="仿宋_GB2312" w:eastAsia="仿宋_GB2312" w:cs="仿宋_GB2312"/>
          <w:color w:val="000000"/>
          <w:sz w:val="32"/>
          <w:szCs w:val="32"/>
          <w:highlight w:val="none"/>
        </w:rPr>
        <w:t>创业创新示范基地</w:t>
      </w:r>
      <w:r>
        <w:rPr>
          <w:rFonts w:hint="eastAsia" w:ascii="仿宋_GB2312" w:hAnsi="仿宋_GB2312" w:eastAsia="仿宋_GB2312" w:cs="仿宋_GB2312"/>
          <w:color w:val="000000"/>
          <w:sz w:val="32"/>
          <w:szCs w:val="32"/>
          <w:highlight w:val="none"/>
          <w:lang w:eastAsia="zh-CN"/>
        </w:rPr>
        <w:t>证明文件；</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3</w:t>
      </w:r>
      <w:r>
        <w:rPr>
          <w:rFonts w:hint="eastAsia" w:ascii="仿宋_GB2312" w:hAnsi="仿宋_GB2312" w:eastAsia="仿宋_GB2312" w:cs="仿宋_GB2312"/>
          <w:sz w:val="32"/>
          <w:szCs w:val="32"/>
          <w:highlight w:val="none"/>
        </w:rPr>
        <w:t>）其</w:t>
      </w:r>
      <w:r>
        <w:rPr>
          <w:rFonts w:hint="eastAsia" w:ascii="仿宋_GB2312" w:hAnsi="仿宋_GB2312" w:eastAsia="仿宋_GB2312" w:cs="仿宋_GB2312"/>
          <w:sz w:val="32"/>
          <w:szCs w:val="32"/>
        </w:rPr>
        <w:t>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Cs/>
          <w:color w:val="000000"/>
          <w:sz w:val="32"/>
          <w:szCs w:val="32"/>
          <w:lang w:eastAsia="zh-CN"/>
        </w:rPr>
      </w:pPr>
      <w:r>
        <w:rPr>
          <w:rFonts w:hint="eastAsia" w:ascii="仿宋_GB2312" w:hAnsi="仿宋_GB2312" w:eastAsia="仿宋_GB2312" w:cs="仿宋_GB2312"/>
          <w:color w:val="000000"/>
          <w:sz w:val="32"/>
          <w:szCs w:val="32"/>
          <w:lang w:eastAsia="zh-CN"/>
        </w:rPr>
        <w:t>（二十二）</w:t>
      </w:r>
      <w:r>
        <w:rPr>
          <w:rFonts w:hint="eastAsia" w:ascii="仿宋_GB2312" w:hAnsi="仿宋_GB2312" w:eastAsia="仿宋_GB2312" w:cs="仿宋_GB2312"/>
          <w:sz w:val="32"/>
          <w:szCs w:val="32"/>
        </w:rPr>
        <w:t xml:space="preserve">支持企业租赁标准厂房 </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补助对象：</w:t>
      </w:r>
      <w:r>
        <w:rPr>
          <w:rFonts w:hint="eastAsia" w:ascii="仿宋_GB2312" w:hAnsi="仿宋_GB2312" w:eastAsia="仿宋_GB2312" w:cs="仿宋_GB2312"/>
          <w:color w:val="000000"/>
          <w:sz w:val="32"/>
          <w:szCs w:val="32"/>
        </w:rPr>
        <w:t>《意见》实施之日（含）后</w:t>
      </w:r>
      <w:r>
        <w:rPr>
          <w:rFonts w:hint="eastAsia" w:ascii="仿宋_GB2312" w:hAnsi="仿宋_GB2312" w:eastAsia="仿宋_GB2312" w:cs="仿宋_GB2312"/>
          <w:color w:val="000000"/>
          <w:sz w:val="32"/>
          <w:szCs w:val="32"/>
          <w:highlight w:val="none"/>
          <w:lang w:val="en-US" w:eastAsia="zh-CN"/>
        </w:rPr>
        <w:t>首次上规，且“亩均效益”综合绩效评价为A类和B类的企业。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sz w:val="32"/>
          <w:szCs w:val="32"/>
          <w:highlight w:val="none"/>
        </w:rPr>
        <w:t>申报材料：（1）</w:t>
      </w:r>
      <w:r>
        <w:rPr>
          <w:rFonts w:hint="eastAsia" w:ascii="仿宋_GB2312" w:hAnsi="仿宋_GB2312" w:eastAsia="仿宋_GB2312" w:cs="仿宋_GB2312"/>
          <w:color w:val="000000"/>
          <w:sz w:val="32"/>
          <w:szCs w:val="32"/>
          <w:highlight w:val="none"/>
          <w:lang w:eastAsia="zh-CN"/>
        </w:rPr>
        <w:t>丽水市生态工业</w:t>
      </w:r>
      <w:r>
        <w:rPr>
          <w:rFonts w:hint="eastAsia" w:ascii="仿宋_GB2312" w:hAnsi="仿宋_GB2312" w:eastAsia="仿宋_GB2312" w:cs="仿宋_GB2312"/>
          <w:color w:val="auto"/>
          <w:sz w:val="32"/>
          <w:szCs w:val="32"/>
          <w:highlight w:val="none"/>
          <w:lang w:eastAsia="zh-CN"/>
        </w:rPr>
        <w:t>和数字经济</w:t>
      </w:r>
      <w:r>
        <w:rPr>
          <w:rFonts w:hint="eastAsia" w:ascii="仿宋_GB2312" w:hAnsi="仿宋_GB2312" w:eastAsia="仿宋_GB2312" w:cs="仿宋_GB2312"/>
          <w:color w:val="000000"/>
          <w:sz w:val="32"/>
          <w:szCs w:val="32"/>
          <w:highlight w:val="none"/>
          <w:lang w:eastAsia="zh-CN"/>
        </w:rPr>
        <w:t>奖励补助申请表</w:t>
      </w:r>
      <w:r>
        <w:rPr>
          <w:rFonts w:hint="eastAsia" w:ascii="仿宋_GB2312" w:hAnsi="仿宋_GB2312" w:eastAsia="仿宋_GB2312" w:cs="仿宋_GB2312"/>
          <w:sz w:val="32"/>
          <w:szCs w:val="32"/>
          <w:highlight w:val="none"/>
        </w:rPr>
        <w:t>；（2）</w:t>
      </w:r>
      <w:r>
        <w:rPr>
          <w:rFonts w:hint="eastAsia" w:ascii="仿宋_GB2312" w:hAnsi="仿宋_GB2312" w:eastAsia="仿宋_GB2312" w:cs="仿宋_GB2312"/>
          <w:color w:val="auto"/>
          <w:sz w:val="32"/>
          <w:szCs w:val="32"/>
          <w:highlight w:val="none"/>
          <w:lang w:eastAsia="zh-CN"/>
        </w:rPr>
        <w:t>已发文的综合绩效评价结果；（</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厂房租赁合同、</w:t>
      </w:r>
      <w:r>
        <w:rPr>
          <w:rFonts w:hint="eastAsia" w:ascii="仿宋_GB2312" w:hAnsi="仿宋_GB2312" w:eastAsia="仿宋_GB2312" w:cs="仿宋_GB2312"/>
          <w:color w:val="auto"/>
          <w:sz w:val="32"/>
          <w:szCs w:val="32"/>
          <w:highlight w:val="none"/>
          <w:lang w:eastAsia="zh-CN"/>
        </w:rPr>
        <w:t>备案通知书；（</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lang w:eastAsia="zh-CN"/>
        </w:rPr>
        <w:t>）房租支付发票；</w:t>
      </w:r>
      <w:r>
        <w:rPr>
          <w:rFonts w:hint="eastAsia" w:ascii="仿宋_GB2312" w:hAnsi="仿宋_GB2312" w:eastAsia="仿宋_GB2312" w:cs="仿宋_GB2312"/>
          <w:color w:val="auto"/>
          <w:sz w:val="32"/>
          <w:szCs w:val="32"/>
          <w:highlight w:val="none"/>
        </w:rPr>
        <w:t>（5）其他要求提供的资料</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spacing w:line="580" w:lineRule="exact"/>
        <w:ind w:firstLine="640" w:firstLineChars="200"/>
        <w:contextualSpacing/>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（二十三）鼓励工业用地提容增效。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申报材料：（1）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color w:val="auto"/>
          <w:sz w:val="32"/>
          <w:szCs w:val="32"/>
          <w:highlight w:val="none"/>
        </w:rPr>
        <w:t>；（2）企业技术改造投资项目核准（备案）通知书；（</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）批准加层或翻建改建扩建批准文书、施工许可证、验收合格文书、新增生产性用房面积及全厂建筑容积率证明材料等；（</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）其他要求提供的资料</w:t>
      </w:r>
      <w:r>
        <w:rPr>
          <w:rFonts w:hint="eastAsia" w:ascii="仿宋_GB2312" w:hAnsi="仿宋_GB2312" w:eastAsia="仿宋_GB2312" w:cs="仿宋_GB2312"/>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yellow"/>
          <w:lang w:eastAsia="zh-CN"/>
        </w:rPr>
      </w:pPr>
      <w:r>
        <w:rPr>
          <w:rFonts w:hint="eastAsia" w:ascii="仿宋_GB2312" w:hAnsi="仿宋_GB2312" w:eastAsia="仿宋_GB2312" w:cs="仿宋_GB2312"/>
          <w:color w:val="auto"/>
          <w:sz w:val="32"/>
          <w:szCs w:val="32"/>
          <w:lang w:eastAsia="zh-CN"/>
        </w:rPr>
        <w:t>（二十四</w:t>
      </w:r>
      <w:r>
        <w:rPr>
          <w:rFonts w:hint="eastAsia" w:ascii="仿宋_GB2312" w:hAnsi="仿宋_GB2312" w:eastAsia="仿宋_GB2312" w:cs="仿宋_GB2312"/>
          <w:color w:val="auto"/>
          <w:sz w:val="32"/>
          <w:szCs w:val="32"/>
          <w:highlight w:val="none"/>
          <w:lang w:eastAsia="zh-CN"/>
        </w:rPr>
        <w:t>）支持企业人才队伍建设。</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rPr>
        <w:t>申报材料需提供：（1）</w:t>
      </w:r>
      <w:r>
        <w:rPr>
          <w:rFonts w:hint="eastAsia" w:ascii="仿宋_GB2312" w:hAnsi="仿宋_GB2312" w:eastAsia="仿宋_GB2312" w:cs="仿宋_GB2312"/>
          <w:color w:val="auto"/>
          <w:sz w:val="32"/>
          <w:szCs w:val="32"/>
          <w:highlight w:val="none"/>
          <w:lang w:eastAsia="zh-CN"/>
        </w:rPr>
        <w:t>丽水市生态工业和数字经济奖励补助申请表</w:t>
      </w:r>
      <w:r>
        <w:rPr>
          <w:rFonts w:hint="eastAsia" w:ascii="仿宋_GB2312" w:hAnsi="仿宋_GB2312" w:eastAsia="仿宋_GB2312" w:cs="仿宋_GB2312"/>
          <w:color w:val="auto"/>
          <w:sz w:val="32"/>
          <w:szCs w:val="32"/>
          <w:highlight w:val="none"/>
        </w:rPr>
        <w:t>；（2）工商管理硕士研修班（课程研修班）结业证书复印件并加盖企业公章；（3）学费（或培训费）正</w:t>
      </w:r>
      <w:r>
        <w:rPr>
          <w:rFonts w:hint="eastAsia" w:ascii="仿宋_GB2312" w:hAnsi="仿宋_GB2312" w:eastAsia="仿宋_GB2312" w:cs="仿宋_GB2312"/>
          <w:color w:val="auto"/>
          <w:sz w:val="32"/>
          <w:szCs w:val="32"/>
          <w:highlight w:val="none"/>
          <w:lang w:eastAsia="zh-CN"/>
        </w:rPr>
        <w:t>式发票复印件；（4）企业经营管理人员任职文件；（5）“企业大学”的认定文件；（</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lang w:eastAsia="zh-CN"/>
        </w:rPr>
        <w:t>其他要求提供的资料。</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 xml:space="preserve"> 第三章 专项资金的申报时间和审核拨付流程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sz w:val="32"/>
          <w:szCs w:val="32"/>
          <w:lang w:eastAsia="zh-CN"/>
        </w:rPr>
        <w:t xml:space="preserve">第四条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专项资金申报、拨付时间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为加快奖励资金兑付进度，除需另行发文组织申报或有年度增幅要求的条款外，企业在达到地方考核目标后，即可向辖区经信部门提交奖励资金的兑付申请，兑付申请期限截至当年</w:t>
      </w:r>
      <w:r>
        <w:rPr>
          <w:rFonts w:hint="eastAsia" w:ascii="仿宋_GB2312" w:hAnsi="仿宋_GB2312" w:eastAsia="仿宋_GB2312" w:cs="仿宋_GB2312"/>
          <w:color w:val="auto"/>
          <w:sz w:val="32"/>
          <w:szCs w:val="32"/>
          <w:highlight w:val="none"/>
          <w:lang w:val="en-US" w:eastAsia="zh-CN"/>
        </w:rPr>
        <w:t>11月底</w:t>
      </w:r>
      <w:r>
        <w:rPr>
          <w:rFonts w:hint="eastAsia" w:ascii="仿宋_GB2312" w:hAnsi="仿宋_GB2312" w:eastAsia="仿宋_GB2312" w:cs="仿宋_GB2312"/>
          <w:color w:val="auto"/>
          <w:sz w:val="32"/>
          <w:szCs w:val="32"/>
          <w:highlight w:val="none"/>
          <w:lang w:eastAsia="zh-CN"/>
        </w:rPr>
        <w:t>。辖区经信部门和财政部门须及时进行审核并完成资金兑付。</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 xml:space="preserve">第五条 </w:t>
      </w:r>
      <w:r>
        <w:rPr>
          <w:rFonts w:hint="eastAsia" w:ascii="仿宋_GB2312" w:hAnsi="仿宋_GB2312" w:eastAsia="仿宋_GB2312" w:cs="仿宋_GB2312"/>
          <w:sz w:val="32"/>
          <w:szCs w:val="32"/>
          <w:lang w:val="en-US" w:eastAsia="zh-CN"/>
        </w:rPr>
        <w:t xml:space="preserve"> 专项资金申报、审核流程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符合申报条件的市直企业将申报材料报送市经信局。符合《意见》第三十条的丽水开发区、莲都区企业将申报材料直接报送市经信局。</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市经信局对申报材料进行汇总、审核后，报市财政局复审。复核完成后由市经信局将审核确认后的企业名单及相关内容在其门户网站进行公示5天，公示无异议后，由市财政局报市政府审批，并按现行财政资金管理规定及时拨付资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获得丽水市生态工业和数字经济发展专项资金的企业应及时开具收款收据、出具按规定用途使用资金的承诺书。</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莲都区、丽水术开发区开展符合条件的属地企业申报兑现扶持资金流程参照执行。莲都区、丽水开发区经信部门和财政部门要同时将兑现情况抄送市经信</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、市财政局备案。</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第四章 专项资金的管理与监督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第六条</w:t>
      </w:r>
      <w:r>
        <w:rPr>
          <w:rFonts w:hint="eastAsia" w:ascii="仿宋_GB2312" w:hAnsi="仿宋_GB2312" w:eastAsia="仿宋_GB2312" w:cs="仿宋_GB2312"/>
          <w:sz w:val="32"/>
          <w:szCs w:val="32"/>
          <w:lang w:val="en-US" w:eastAsia="zh-CN"/>
        </w:rPr>
        <w:t xml:space="preserve">  专项资金的管理与监督</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sz w:val="32"/>
          <w:szCs w:val="32"/>
          <w:lang w:val="en-US" w:eastAsia="zh-CN"/>
        </w:rPr>
        <w:t>获得丽水市生态工业和数字经济发展专项资金的企业收到扶持资金后，应严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格按照现行财务有关规定做好财务处理，确保“单独建账，专款专用”。专项奖励资金原则上用于</w:t>
      </w:r>
      <w:r>
        <w:rPr>
          <w:rFonts w:hint="eastAsia" w:ascii="仿宋_GB2312" w:hAnsi="仿宋_GB2312" w:eastAsia="仿宋_GB2312" w:cs="仿宋_GB2312"/>
          <w:color w:val="000000" w:themeColor="text1"/>
          <w:sz w:val="32"/>
          <w:szCs w:val="32"/>
          <w14:textFill>
            <w14:solidFill>
              <w14:schemeClr w14:val="tx1"/>
            </w14:solidFill>
          </w14:textFill>
        </w:rPr>
        <w:t>企业研发、技术改造和扩大再生产</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等。</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经信部门、财政部门应加强对丽水市生态工业和数字经济发展专项资金的管理和监督，定期或不定期对项目的执行情况进行检查监督和绩效评价，切实提高资</w:t>
      </w:r>
      <w:r>
        <w:rPr>
          <w:rFonts w:hint="eastAsia" w:ascii="仿宋_GB2312" w:hAnsi="仿宋_GB2312" w:eastAsia="仿宋_GB2312" w:cs="仿宋_GB2312"/>
          <w:sz w:val="32"/>
          <w:szCs w:val="32"/>
          <w:lang w:val="en-US" w:eastAsia="zh-CN"/>
        </w:rPr>
        <w:t>金使用效益。 对存在以虚报、冒领等手段骗取专项资金或擅自改变专项资金用途等违反财经法律法规行为的企业和个人，一经发现，将根据《中华人民共和国预算法》、《财政违法行为处罚处分条例》相关法律法规进行处理，涉嫌犯罪的，移送司法机关依法查处。</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第五章  附则</w:t>
      </w:r>
    </w:p>
    <w:p>
      <w:pPr>
        <w:keepNext w:val="0"/>
        <w:keepLines w:val="0"/>
        <w:pageBreakBefore w:val="0"/>
        <w:widowControl/>
        <w:suppressLineNumbers w:val="0"/>
        <w:kinsoku/>
        <w:wordWrap/>
        <w:overflowPunct/>
        <w:topLinePunct w:val="0"/>
        <w:autoSpaceDE/>
        <w:autoSpaceDN/>
        <w:bidi w:val="0"/>
        <w:snapToGrid/>
        <w:spacing w:line="580" w:lineRule="exact"/>
        <w:ind w:left="0" w:lef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 xml:space="preserve">第七条  </w:t>
      </w:r>
      <w:r>
        <w:rPr>
          <w:rFonts w:hint="eastAsia" w:ascii="仿宋_GB2312" w:hAnsi="仿宋_GB2312" w:eastAsia="仿宋_GB2312" w:cs="仿宋_GB2312"/>
          <w:sz w:val="32"/>
          <w:szCs w:val="32"/>
          <w:lang w:val="en-US" w:eastAsia="zh-CN"/>
        </w:rPr>
        <w:t>企业所属行业由辖区经信部门负责认定。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楷体_GB2312" w:hAnsi="楷体_GB2312" w:eastAsia="楷体_GB2312" w:cs="楷体_GB2312"/>
          <w:b w:val="0"/>
          <w:bCs w:val="0"/>
          <w:sz w:val="32"/>
          <w:szCs w:val="32"/>
          <w:lang w:val="en-US" w:eastAsia="zh-CN"/>
        </w:rPr>
        <w:t>第八条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对年度“亩均效益”综合绩效评价A类企业，在申报兑现第十一条、第十三条、第十六条政策时（按比例奖补部分），享受财政奖补比例在原标准上提高10%，但不超过原条款限额标准。</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楷体_GB2312" w:hAnsi="楷体_GB2312" w:eastAsia="楷体_GB2312" w:cs="楷体_GB2312"/>
          <w:color w:val="000000" w:themeColor="text1"/>
          <w:kern w:val="0"/>
          <w:sz w:val="32"/>
          <w:szCs w:val="32"/>
          <w:lang w:val="en-US" w:eastAsia="zh-CN" w:bidi="ar"/>
          <w14:textFill>
            <w14:solidFill>
              <w14:schemeClr w14:val="tx1"/>
            </w14:solidFill>
          </w14:textFill>
        </w:rPr>
        <w:t>第九条</w:t>
      </w: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 xml:space="preserve">  各地各有关部门在组织政策兑付申报时，应结合实际情况，进一步简化申报流程，减少申报资料，甚至直接予以补助，努力实现一次都不用跑。</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val="0"/>
          <w:bCs w:val="0"/>
          <w:sz w:val="32"/>
          <w:szCs w:val="32"/>
          <w:lang w:val="en-US" w:eastAsia="zh-CN"/>
        </w:rPr>
        <w:t xml:space="preserve">第十条  </w:t>
      </w:r>
      <w:r>
        <w:rPr>
          <w:rFonts w:hint="eastAsia" w:ascii="仿宋_GB2312" w:hAnsi="仿宋_GB2312" w:eastAsia="仿宋_GB2312" w:cs="仿宋_GB2312"/>
          <w:sz w:val="32"/>
          <w:szCs w:val="32"/>
          <w:lang w:val="en-US" w:eastAsia="zh-CN"/>
        </w:rPr>
        <w:t>本办法自文件发布之日起施行。</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附件：丽水市区生态工业和数字经济奖励补助申请表</w:t>
      </w:r>
    </w:p>
    <w:p>
      <w:pPr>
        <w:spacing w:line="0" w:lineRule="atLeast"/>
        <w:jc w:val="both"/>
        <w:rPr>
          <w:rFonts w:hint="eastAsia" w:ascii="方正小标宋简体" w:eastAsia="方正小标宋简体"/>
          <w:sz w:val="32"/>
          <w:szCs w:val="32"/>
        </w:rPr>
      </w:pPr>
    </w:p>
    <w:p>
      <w:pPr>
        <w:spacing w:line="0" w:lineRule="atLeast"/>
        <w:jc w:val="center"/>
        <w:rPr>
          <w:rFonts w:hint="eastAsia" w:ascii="方正小标宋简体" w:eastAsia="方正小标宋简体"/>
          <w:sz w:val="32"/>
          <w:szCs w:val="32"/>
        </w:rPr>
        <w:sectPr>
          <w:pgSz w:w="11906" w:h="16838"/>
          <w:pgMar w:top="2098" w:right="1531" w:bottom="1814" w:left="1531" w:header="851" w:footer="964" w:gutter="0"/>
          <w:pgNumType w:fmt="numberInDash"/>
          <w:cols w:space="425" w:num="1"/>
          <w:docGrid w:type="lines" w:linePitch="312" w:charSpace="0"/>
        </w:sectPr>
      </w:pPr>
    </w:p>
    <w:p>
      <w:pPr>
        <w:spacing w:line="0" w:lineRule="atLeast"/>
        <w:jc w:val="both"/>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keepNext w:val="0"/>
        <w:keepLines w:val="0"/>
        <w:pageBreakBefore w:val="0"/>
        <w:widowControl w:val="0"/>
        <w:kinsoku/>
        <w:wordWrap/>
        <w:overflowPunct/>
        <w:topLinePunct w:val="0"/>
        <w:autoSpaceDE/>
        <w:autoSpaceDN/>
        <w:bidi w:val="0"/>
        <w:adjustRightInd/>
        <w:snapToGrid/>
        <w:spacing w:after="157" w:afterLines="50" w:line="0" w:lineRule="atLeas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丽水市区生态工业</w:t>
      </w:r>
      <w:r>
        <w:rPr>
          <w:rFonts w:hint="eastAsia" w:ascii="方正小标宋简体" w:eastAsia="方正小标宋简体"/>
          <w:sz w:val="44"/>
          <w:szCs w:val="44"/>
          <w:lang w:eastAsia="zh-CN"/>
        </w:rPr>
        <w:t>和数字经济</w:t>
      </w:r>
      <w:r>
        <w:rPr>
          <w:rFonts w:hint="eastAsia" w:ascii="方正小标宋简体" w:eastAsia="方正小标宋简体"/>
          <w:sz w:val="44"/>
          <w:szCs w:val="44"/>
        </w:rPr>
        <w:t>奖励补助申请表</w:t>
      </w:r>
    </w:p>
    <w:tbl>
      <w:tblPr>
        <w:tblStyle w:val="7"/>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243"/>
        <w:gridCol w:w="10"/>
        <w:gridCol w:w="1436"/>
        <w:gridCol w:w="6"/>
        <w:gridCol w:w="1092"/>
        <w:gridCol w:w="587"/>
        <w:gridCol w:w="1033"/>
        <w:gridCol w:w="1440"/>
        <w:gridCol w:w="14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restart"/>
            <w:noWrap w:val="0"/>
            <w:vAlign w:val="center"/>
          </w:tcPr>
          <w:p>
            <w:pPr>
              <w:spacing w:line="0" w:lineRule="atLeast"/>
              <w:jc w:val="center"/>
              <w:rPr>
                <w:rFonts w:hint="eastAsia"/>
              </w:rPr>
            </w:pPr>
            <w:r>
              <w:rPr>
                <w:rFonts w:hint="eastAsia"/>
              </w:rPr>
              <w:t>企业基本情况</w:t>
            </w:r>
          </w:p>
        </w:tc>
        <w:tc>
          <w:tcPr>
            <w:tcW w:w="1243" w:type="dxa"/>
            <w:noWrap w:val="0"/>
            <w:vAlign w:val="center"/>
          </w:tcPr>
          <w:p>
            <w:pPr>
              <w:spacing w:line="0" w:lineRule="atLeast"/>
              <w:jc w:val="center"/>
              <w:rPr>
                <w:rFonts w:hint="eastAsia"/>
              </w:rPr>
            </w:pPr>
            <w:r>
              <w:rPr>
                <w:rFonts w:hint="eastAsia"/>
              </w:rPr>
              <w:t>企业名称</w:t>
            </w:r>
          </w:p>
        </w:tc>
        <w:tc>
          <w:tcPr>
            <w:tcW w:w="4164" w:type="dxa"/>
            <w:gridSpan w:val="6"/>
            <w:noWrap w:val="0"/>
            <w:vAlign w:val="center"/>
          </w:tcPr>
          <w:p>
            <w:pPr>
              <w:spacing w:line="0" w:lineRule="atLeast"/>
              <w:jc w:val="right"/>
              <w:rPr>
                <w:rFonts w:hint="eastAsia"/>
              </w:rPr>
            </w:pPr>
            <w:r>
              <w:rPr>
                <w:rFonts w:hint="eastAsia"/>
              </w:rPr>
              <w:t>（盖章）</w:t>
            </w:r>
          </w:p>
        </w:tc>
        <w:tc>
          <w:tcPr>
            <w:tcW w:w="1440" w:type="dxa"/>
            <w:vMerge w:val="restart"/>
            <w:noWrap w:val="0"/>
            <w:vAlign w:val="center"/>
          </w:tcPr>
          <w:p>
            <w:pPr>
              <w:spacing w:line="0" w:lineRule="atLeast"/>
              <w:jc w:val="center"/>
              <w:rPr>
                <w:rFonts w:hint="eastAsia"/>
              </w:rPr>
            </w:pPr>
            <w:r>
              <w:rPr>
                <w:rFonts w:hint="eastAsia"/>
              </w:rPr>
              <w:t>统一社会信用代码（或组织机构代码）</w:t>
            </w:r>
          </w:p>
        </w:tc>
        <w:tc>
          <w:tcPr>
            <w:tcW w:w="1443" w:type="dxa"/>
            <w:vMerge w:val="restart"/>
            <w:noWrap w:val="0"/>
            <w:vAlign w:val="center"/>
          </w:tcPr>
          <w:p>
            <w:pPr>
              <w:spacing w:line="0" w:lineRule="atLeas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continue"/>
            <w:noWrap w:val="0"/>
            <w:vAlign w:val="center"/>
          </w:tcPr>
          <w:p>
            <w:pPr>
              <w:spacing w:line="0" w:lineRule="atLeast"/>
              <w:jc w:val="center"/>
              <w:rPr>
                <w:rFonts w:hint="eastAsia"/>
              </w:rPr>
            </w:pPr>
          </w:p>
        </w:tc>
        <w:tc>
          <w:tcPr>
            <w:tcW w:w="1243" w:type="dxa"/>
            <w:noWrap w:val="0"/>
            <w:vAlign w:val="center"/>
          </w:tcPr>
          <w:p>
            <w:pPr>
              <w:spacing w:line="0" w:lineRule="atLeast"/>
              <w:jc w:val="center"/>
              <w:rPr>
                <w:rFonts w:hint="eastAsia"/>
              </w:rPr>
            </w:pPr>
            <w:r>
              <w:rPr>
                <w:rFonts w:hint="eastAsia"/>
              </w:rPr>
              <w:t>地址</w:t>
            </w:r>
          </w:p>
        </w:tc>
        <w:tc>
          <w:tcPr>
            <w:tcW w:w="4164" w:type="dxa"/>
            <w:gridSpan w:val="6"/>
            <w:noWrap w:val="0"/>
            <w:vAlign w:val="center"/>
          </w:tcPr>
          <w:p>
            <w:pPr>
              <w:spacing w:line="0" w:lineRule="atLeast"/>
              <w:jc w:val="center"/>
              <w:rPr>
                <w:rFonts w:hint="eastAsia"/>
              </w:rPr>
            </w:pPr>
          </w:p>
        </w:tc>
        <w:tc>
          <w:tcPr>
            <w:tcW w:w="1440" w:type="dxa"/>
            <w:vMerge w:val="continue"/>
            <w:noWrap w:val="0"/>
            <w:vAlign w:val="center"/>
          </w:tcPr>
          <w:p>
            <w:pPr>
              <w:spacing w:line="0" w:lineRule="atLeast"/>
              <w:jc w:val="center"/>
              <w:rPr>
                <w:rFonts w:hint="eastAsia"/>
              </w:rPr>
            </w:pPr>
          </w:p>
        </w:tc>
        <w:tc>
          <w:tcPr>
            <w:tcW w:w="1443" w:type="dxa"/>
            <w:vMerge w:val="continue"/>
            <w:noWrap w:val="0"/>
            <w:vAlign w:val="center"/>
          </w:tcPr>
          <w:p>
            <w:pPr>
              <w:spacing w:line="0" w:lineRule="atLeas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continue"/>
            <w:noWrap w:val="0"/>
            <w:vAlign w:val="center"/>
          </w:tcPr>
          <w:p>
            <w:pPr>
              <w:spacing w:line="0" w:lineRule="atLeast"/>
              <w:jc w:val="center"/>
              <w:rPr>
                <w:rFonts w:hint="eastAsia"/>
              </w:rPr>
            </w:pPr>
          </w:p>
        </w:tc>
        <w:tc>
          <w:tcPr>
            <w:tcW w:w="1243" w:type="dxa"/>
            <w:noWrap w:val="0"/>
            <w:vAlign w:val="center"/>
          </w:tcPr>
          <w:p>
            <w:pPr>
              <w:spacing w:line="0" w:lineRule="atLeast"/>
              <w:jc w:val="center"/>
              <w:rPr>
                <w:rFonts w:hint="eastAsia"/>
              </w:rPr>
            </w:pPr>
            <w:r>
              <w:rPr>
                <w:rFonts w:hint="eastAsia"/>
              </w:rPr>
              <w:t>法人代表</w:t>
            </w:r>
          </w:p>
        </w:tc>
        <w:tc>
          <w:tcPr>
            <w:tcW w:w="3131" w:type="dxa"/>
            <w:gridSpan w:val="5"/>
            <w:noWrap w:val="0"/>
            <w:vAlign w:val="center"/>
          </w:tcPr>
          <w:p>
            <w:pPr>
              <w:spacing w:line="0" w:lineRule="atLeast"/>
              <w:jc w:val="center"/>
              <w:rPr>
                <w:rFonts w:hint="eastAsia"/>
              </w:rPr>
            </w:pPr>
          </w:p>
        </w:tc>
        <w:tc>
          <w:tcPr>
            <w:tcW w:w="1033" w:type="dxa"/>
            <w:noWrap w:val="0"/>
            <w:vAlign w:val="center"/>
          </w:tcPr>
          <w:p>
            <w:pPr>
              <w:spacing w:line="0" w:lineRule="atLeast"/>
              <w:jc w:val="center"/>
              <w:rPr>
                <w:rFonts w:hint="eastAsia"/>
              </w:rPr>
            </w:pPr>
            <w:r>
              <w:rPr>
                <w:rFonts w:hint="eastAsia"/>
              </w:rPr>
              <w:t>电话</w:t>
            </w:r>
          </w:p>
        </w:tc>
        <w:tc>
          <w:tcPr>
            <w:tcW w:w="2883" w:type="dxa"/>
            <w:gridSpan w:val="2"/>
            <w:noWrap w:val="0"/>
            <w:vAlign w:val="center"/>
          </w:tcPr>
          <w:p>
            <w:pPr>
              <w:spacing w:line="0" w:lineRule="atLeas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continue"/>
            <w:noWrap w:val="0"/>
            <w:vAlign w:val="center"/>
          </w:tcPr>
          <w:p>
            <w:pPr>
              <w:spacing w:line="0" w:lineRule="atLeast"/>
              <w:jc w:val="center"/>
              <w:rPr>
                <w:rFonts w:hint="eastAsia"/>
              </w:rPr>
            </w:pPr>
          </w:p>
        </w:tc>
        <w:tc>
          <w:tcPr>
            <w:tcW w:w="1243" w:type="dxa"/>
            <w:noWrap w:val="0"/>
            <w:vAlign w:val="center"/>
          </w:tcPr>
          <w:p>
            <w:pPr>
              <w:spacing w:line="0" w:lineRule="atLeast"/>
              <w:jc w:val="center"/>
              <w:rPr>
                <w:rFonts w:hint="eastAsia" w:ascii="宋体" w:hAnsi="宋体"/>
                <w:szCs w:val="21"/>
              </w:rPr>
            </w:pPr>
            <w:r>
              <w:rPr>
                <w:rFonts w:hint="eastAsia" w:ascii="宋体" w:hAnsi="宋体"/>
                <w:szCs w:val="21"/>
              </w:rPr>
              <w:t>联系人</w:t>
            </w:r>
          </w:p>
        </w:tc>
        <w:tc>
          <w:tcPr>
            <w:tcW w:w="3131" w:type="dxa"/>
            <w:gridSpan w:val="5"/>
            <w:noWrap w:val="0"/>
            <w:vAlign w:val="center"/>
          </w:tcPr>
          <w:p>
            <w:pPr>
              <w:spacing w:line="0" w:lineRule="atLeast"/>
              <w:jc w:val="center"/>
              <w:rPr>
                <w:rFonts w:hint="eastAsia"/>
              </w:rPr>
            </w:pPr>
          </w:p>
        </w:tc>
        <w:tc>
          <w:tcPr>
            <w:tcW w:w="1033" w:type="dxa"/>
            <w:noWrap w:val="0"/>
            <w:vAlign w:val="center"/>
          </w:tcPr>
          <w:p>
            <w:pPr>
              <w:spacing w:line="0" w:lineRule="atLeast"/>
              <w:jc w:val="center"/>
              <w:rPr>
                <w:rFonts w:hint="eastAsia"/>
              </w:rPr>
            </w:pPr>
            <w:r>
              <w:rPr>
                <w:rFonts w:hint="eastAsia" w:ascii="宋体" w:hAnsi="宋体"/>
                <w:szCs w:val="21"/>
              </w:rPr>
              <w:t>电话</w:t>
            </w:r>
          </w:p>
        </w:tc>
        <w:tc>
          <w:tcPr>
            <w:tcW w:w="2883" w:type="dxa"/>
            <w:gridSpan w:val="2"/>
            <w:noWrap w:val="0"/>
            <w:vAlign w:val="center"/>
          </w:tcPr>
          <w:p>
            <w:pPr>
              <w:spacing w:line="0" w:lineRule="atLeas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710" w:type="dxa"/>
            <w:vMerge w:val="continue"/>
            <w:noWrap w:val="0"/>
            <w:vAlign w:val="center"/>
          </w:tcPr>
          <w:p>
            <w:pPr>
              <w:spacing w:line="0" w:lineRule="atLeast"/>
              <w:jc w:val="center"/>
              <w:rPr>
                <w:rFonts w:hint="eastAsia"/>
              </w:rPr>
            </w:pPr>
          </w:p>
        </w:tc>
        <w:tc>
          <w:tcPr>
            <w:tcW w:w="8290" w:type="dxa"/>
            <w:gridSpan w:val="9"/>
            <w:noWrap w:val="0"/>
            <w:vAlign w:val="top"/>
          </w:tcPr>
          <w:p>
            <w:pPr>
              <w:spacing w:line="0" w:lineRule="atLeast"/>
              <w:rPr>
                <w:rFonts w:hint="eastAsia"/>
              </w:rPr>
            </w:pPr>
            <w:r>
              <w:rPr>
                <w:rFonts w:hint="eastAsia" w:ascii="宋体" w:hAnsi="宋体"/>
                <w:szCs w:val="21"/>
              </w:rPr>
              <w:t>生产规模、主要产品及应用行业或领域：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restart"/>
            <w:noWrap w:val="0"/>
            <w:vAlign w:val="center"/>
          </w:tcPr>
          <w:p>
            <w:pPr>
              <w:spacing w:line="0" w:lineRule="atLeast"/>
              <w:jc w:val="center"/>
              <w:rPr>
                <w:rFonts w:hint="eastAsia"/>
              </w:rPr>
            </w:pPr>
            <w:r>
              <w:rPr>
                <w:rFonts w:hint="eastAsia"/>
              </w:rPr>
              <w:t>主要经济指标</w:t>
            </w:r>
          </w:p>
        </w:tc>
        <w:tc>
          <w:tcPr>
            <w:tcW w:w="1253" w:type="dxa"/>
            <w:gridSpan w:val="2"/>
            <w:noWrap w:val="0"/>
            <w:vAlign w:val="center"/>
          </w:tcPr>
          <w:p>
            <w:pPr>
              <w:spacing w:line="0" w:lineRule="atLeast"/>
              <w:jc w:val="center"/>
              <w:rPr>
                <w:rFonts w:hint="eastAsia" w:ascii="宋体" w:hAnsi="宋体"/>
                <w:szCs w:val="21"/>
              </w:rPr>
            </w:pPr>
            <w:r>
              <w:rPr>
                <w:rFonts w:hint="eastAsia" w:ascii="宋体" w:hAnsi="宋体"/>
                <w:szCs w:val="21"/>
              </w:rPr>
              <w:t>销售产值</w:t>
            </w:r>
          </w:p>
        </w:tc>
        <w:tc>
          <w:tcPr>
            <w:tcW w:w="1436" w:type="dxa"/>
            <w:noWrap w:val="0"/>
            <w:vAlign w:val="center"/>
          </w:tcPr>
          <w:p>
            <w:pPr>
              <w:spacing w:line="0" w:lineRule="atLeast"/>
              <w:jc w:val="center"/>
              <w:rPr>
                <w:rFonts w:hint="eastAsia"/>
              </w:rPr>
            </w:pPr>
            <w:r>
              <w:rPr>
                <w:rFonts w:hint="eastAsia"/>
              </w:rPr>
              <w:t>当年</w:t>
            </w:r>
          </w:p>
        </w:tc>
        <w:tc>
          <w:tcPr>
            <w:tcW w:w="2718" w:type="dxa"/>
            <w:gridSpan w:val="4"/>
            <w:noWrap w:val="0"/>
            <w:vAlign w:val="center"/>
          </w:tcPr>
          <w:p>
            <w:pPr>
              <w:spacing w:line="0" w:lineRule="atLeast"/>
              <w:jc w:val="right"/>
              <w:rPr>
                <w:rFonts w:hint="eastAsia"/>
              </w:rPr>
            </w:pPr>
            <w:r>
              <w:rPr>
                <w:rFonts w:hint="eastAsia" w:ascii="宋体" w:hAnsi="宋体"/>
                <w:szCs w:val="21"/>
              </w:rPr>
              <w:t>万元</w:t>
            </w:r>
          </w:p>
        </w:tc>
        <w:tc>
          <w:tcPr>
            <w:tcW w:w="1440" w:type="dxa"/>
            <w:noWrap w:val="0"/>
            <w:vAlign w:val="center"/>
          </w:tcPr>
          <w:p>
            <w:pPr>
              <w:spacing w:line="0" w:lineRule="atLeast"/>
              <w:jc w:val="center"/>
              <w:rPr>
                <w:rFonts w:hint="eastAsia" w:ascii="宋体" w:hAnsi="宋体"/>
                <w:szCs w:val="21"/>
              </w:rPr>
            </w:pPr>
            <w:r>
              <w:rPr>
                <w:rFonts w:hint="eastAsia"/>
              </w:rPr>
              <w:t>当年增幅%</w:t>
            </w:r>
          </w:p>
        </w:tc>
        <w:tc>
          <w:tcPr>
            <w:tcW w:w="1443" w:type="dxa"/>
            <w:noWrap w:val="0"/>
            <w:vAlign w:val="center"/>
          </w:tcPr>
          <w:p>
            <w:pPr>
              <w:spacing w:line="0" w:lineRule="atLeas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continue"/>
            <w:noWrap w:val="0"/>
            <w:vAlign w:val="center"/>
          </w:tcPr>
          <w:p>
            <w:pPr>
              <w:spacing w:line="0" w:lineRule="atLeast"/>
              <w:jc w:val="center"/>
              <w:rPr>
                <w:rFonts w:hint="eastAsia"/>
              </w:rPr>
            </w:pPr>
          </w:p>
        </w:tc>
        <w:tc>
          <w:tcPr>
            <w:tcW w:w="1253" w:type="dxa"/>
            <w:gridSpan w:val="2"/>
            <w:noWrap w:val="0"/>
            <w:vAlign w:val="center"/>
          </w:tcPr>
          <w:p>
            <w:pPr>
              <w:spacing w:line="0" w:lineRule="atLeast"/>
              <w:jc w:val="center"/>
              <w:rPr>
                <w:rFonts w:hint="eastAsia" w:ascii="宋体" w:hAnsi="宋体"/>
                <w:szCs w:val="21"/>
              </w:rPr>
            </w:pPr>
            <w:r>
              <w:rPr>
                <w:rFonts w:hint="eastAsia" w:ascii="宋体" w:hAnsi="宋体"/>
                <w:szCs w:val="21"/>
              </w:rPr>
              <w:t>主营业务收入</w:t>
            </w:r>
          </w:p>
        </w:tc>
        <w:tc>
          <w:tcPr>
            <w:tcW w:w="2534" w:type="dxa"/>
            <w:gridSpan w:val="3"/>
            <w:noWrap w:val="0"/>
            <w:vAlign w:val="center"/>
          </w:tcPr>
          <w:p>
            <w:pPr>
              <w:jc w:val="right"/>
              <w:rPr>
                <w:rFonts w:hint="eastAsia"/>
              </w:rPr>
            </w:pPr>
            <w:r>
              <w:rPr>
                <w:rFonts w:hint="eastAsia"/>
              </w:rPr>
              <w:t>万元</w:t>
            </w:r>
          </w:p>
        </w:tc>
        <w:tc>
          <w:tcPr>
            <w:tcW w:w="1620" w:type="dxa"/>
            <w:gridSpan w:val="2"/>
            <w:noWrap w:val="0"/>
            <w:vAlign w:val="center"/>
          </w:tcPr>
          <w:p>
            <w:pPr>
              <w:jc w:val="center"/>
              <w:rPr>
                <w:rFonts w:hint="eastAsia"/>
              </w:rPr>
            </w:pPr>
            <w:r>
              <w:rPr>
                <w:rFonts w:hint="eastAsia"/>
              </w:rPr>
              <w:t>实缴税金</w:t>
            </w:r>
          </w:p>
        </w:tc>
        <w:tc>
          <w:tcPr>
            <w:tcW w:w="2883" w:type="dxa"/>
            <w:gridSpan w:val="2"/>
            <w:noWrap w:val="0"/>
            <w:vAlign w:val="center"/>
          </w:tcPr>
          <w:p>
            <w:pPr>
              <w:jc w:val="right"/>
              <w:rPr>
                <w:rFonts w:hint="eastAsia"/>
              </w:rPr>
            </w:pPr>
            <w:r>
              <w:rPr>
                <w:rFonts w:hint="eastAsia"/>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restart"/>
            <w:noWrap w:val="0"/>
            <w:vAlign w:val="center"/>
          </w:tcPr>
          <w:p>
            <w:pPr>
              <w:spacing w:line="0" w:lineRule="atLeast"/>
              <w:jc w:val="center"/>
              <w:rPr>
                <w:rFonts w:hint="eastAsia"/>
              </w:rPr>
            </w:pPr>
            <w:r>
              <w:rPr>
                <w:rFonts w:hint="eastAsia"/>
              </w:rPr>
              <w:t>申请奖补情况</w:t>
            </w:r>
          </w:p>
        </w:tc>
        <w:tc>
          <w:tcPr>
            <w:tcW w:w="1253" w:type="dxa"/>
            <w:gridSpan w:val="2"/>
            <w:noWrap w:val="0"/>
            <w:vAlign w:val="center"/>
          </w:tcPr>
          <w:p>
            <w:pPr>
              <w:spacing w:line="0" w:lineRule="atLeast"/>
              <w:jc w:val="center"/>
              <w:rPr>
                <w:rFonts w:hint="eastAsia" w:ascii="宋体" w:hAnsi="宋体"/>
                <w:szCs w:val="21"/>
              </w:rPr>
            </w:pPr>
            <w:r>
              <w:rPr>
                <w:rFonts w:hint="eastAsia"/>
              </w:rPr>
              <w:t>奖补类型</w:t>
            </w:r>
          </w:p>
        </w:tc>
        <w:tc>
          <w:tcPr>
            <w:tcW w:w="1436" w:type="dxa"/>
            <w:noWrap w:val="0"/>
            <w:vAlign w:val="center"/>
          </w:tcPr>
          <w:p>
            <w:pPr>
              <w:spacing w:line="0" w:lineRule="atLeast"/>
              <w:jc w:val="center"/>
              <w:rPr>
                <w:rFonts w:hint="eastAsia"/>
              </w:rPr>
            </w:pPr>
          </w:p>
        </w:tc>
        <w:tc>
          <w:tcPr>
            <w:tcW w:w="1098" w:type="dxa"/>
            <w:gridSpan w:val="2"/>
            <w:noWrap w:val="0"/>
            <w:vAlign w:val="center"/>
          </w:tcPr>
          <w:p>
            <w:pPr>
              <w:spacing w:line="0" w:lineRule="atLeast"/>
              <w:jc w:val="center"/>
              <w:rPr>
                <w:rFonts w:hint="eastAsia"/>
                <w:u w:val="single"/>
              </w:rPr>
            </w:pPr>
            <w:r>
              <w:rPr>
                <w:rFonts w:hint="eastAsia"/>
              </w:rPr>
              <w:t>申请金额</w:t>
            </w:r>
          </w:p>
        </w:tc>
        <w:tc>
          <w:tcPr>
            <w:tcW w:w="1620" w:type="dxa"/>
            <w:gridSpan w:val="2"/>
            <w:noWrap w:val="0"/>
            <w:vAlign w:val="center"/>
          </w:tcPr>
          <w:p>
            <w:pPr>
              <w:spacing w:line="0" w:lineRule="atLeast"/>
              <w:jc w:val="right"/>
              <w:rPr>
                <w:rFonts w:hint="eastAsia"/>
              </w:rPr>
            </w:pPr>
            <w:r>
              <w:rPr>
                <w:rFonts w:hint="eastAsia" w:ascii="宋体" w:hAnsi="宋体"/>
                <w:szCs w:val="21"/>
              </w:rPr>
              <w:t>元</w:t>
            </w:r>
          </w:p>
        </w:tc>
        <w:tc>
          <w:tcPr>
            <w:tcW w:w="1440" w:type="dxa"/>
            <w:noWrap w:val="0"/>
            <w:vAlign w:val="center"/>
          </w:tcPr>
          <w:p>
            <w:pPr>
              <w:spacing w:line="0" w:lineRule="atLeast"/>
              <w:jc w:val="center"/>
              <w:rPr>
                <w:rFonts w:hint="eastAsia"/>
                <w:u w:val="single"/>
              </w:rPr>
            </w:pPr>
            <w:r>
              <w:rPr>
                <w:rFonts w:hint="eastAsia"/>
              </w:rPr>
              <w:t>本项目是否已获得其他奖补</w:t>
            </w:r>
          </w:p>
        </w:tc>
        <w:tc>
          <w:tcPr>
            <w:tcW w:w="1443" w:type="dxa"/>
            <w:noWrap w:val="0"/>
            <w:vAlign w:val="center"/>
          </w:tcPr>
          <w:p>
            <w:pPr>
              <w:spacing w:line="0" w:lineRule="atLeast"/>
              <w:jc w:val="center"/>
              <w:rPr>
                <w:rFonts w:hint="eastAsia"/>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0" w:type="dxa"/>
            <w:vMerge w:val="continue"/>
            <w:noWrap w:val="0"/>
            <w:vAlign w:val="center"/>
          </w:tcPr>
          <w:p>
            <w:pPr>
              <w:spacing w:line="0" w:lineRule="atLeast"/>
              <w:jc w:val="center"/>
              <w:rPr>
                <w:rFonts w:hint="eastAsia"/>
              </w:rPr>
            </w:pPr>
          </w:p>
        </w:tc>
        <w:tc>
          <w:tcPr>
            <w:tcW w:w="1253" w:type="dxa"/>
            <w:gridSpan w:val="2"/>
            <w:noWrap w:val="0"/>
            <w:vAlign w:val="center"/>
          </w:tcPr>
          <w:p>
            <w:pPr>
              <w:spacing w:line="0" w:lineRule="atLeast"/>
              <w:jc w:val="center"/>
              <w:rPr>
                <w:rFonts w:hint="eastAsia"/>
              </w:rPr>
            </w:pPr>
            <w:r>
              <w:rPr>
                <w:rFonts w:hint="eastAsia"/>
              </w:rPr>
              <w:t>申请奖励</w:t>
            </w:r>
          </w:p>
          <w:p>
            <w:pPr>
              <w:spacing w:line="0" w:lineRule="atLeast"/>
              <w:jc w:val="center"/>
              <w:rPr>
                <w:rFonts w:hint="eastAsia"/>
              </w:rPr>
            </w:pPr>
            <w:r>
              <w:rPr>
                <w:rFonts w:hint="eastAsia"/>
              </w:rPr>
              <w:t>条件</w:t>
            </w:r>
          </w:p>
        </w:tc>
        <w:tc>
          <w:tcPr>
            <w:tcW w:w="7037" w:type="dxa"/>
            <w:gridSpan w:val="7"/>
            <w:noWrap w:val="0"/>
            <w:vAlign w:val="center"/>
          </w:tcPr>
          <w:p>
            <w:pPr>
              <w:spacing w:line="0" w:lineRule="atLeast"/>
              <w:jc w:val="center"/>
              <w:rPr>
                <w:rFonts w:hint="eastAsia"/>
                <w:b/>
              </w:rPr>
            </w:pPr>
            <w:r>
              <w:rPr>
                <w:rFonts w:hint="eastAsia"/>
                <w:b/>
              </w:rPr>
              <w:t>本项目符合丽政发〔20</w:t>
            </w:r>
            <w:r>
              <w:rPr>
                <w:rFonts w:hint="eastAsia"/>
                <w:b/>
                <w:lang w:val="en-US" w:eastAsia="zh-CN"/>
              </w:rPr>
              <w:t>21</w:t>
            </w:r>
            <w:r>
              <w:rPr>
                <w:rFonts w:hint="eastAsia"/>
                <w:b/>
              </w:rPr>
              <w:t>〕</w:t>
            </w:r>
            <w:r>
              <w:rPr>
                <w:rFonts w:hint="eastAsia"/>
                <w:b/>
                <w:lang w:val="en-US" w:eastAsia="zh-CN"/>
              </w:rPr>
              <w:t>12</w:t>
            </w:r>
            <w:r>
              <w:rPr>
                <w:rFonts w:hint="eastAsia"/>
                <w:b/>
              </w:rPr>
              <w:t>号文件第</w:t>
            </w:r>
            <w:r>
              <w:rPr>
                <w:rFonts w:hint="eastAsia"/>
                <w:b/>
                <w:u w:val="single"/>
              </w:rPr>
              <w:t xml:space="preserve">    </w:t>
            </w:r>
            <w:r>
              <w:rPr>
                <w:rFonts w:hint="eastAsia"/>
                <w:b/>
              </w:rPr>
              <w:t>条第</w:t>
            </w:r>
            <w:r>
              <w:rPr>
                <w:rFonts w:hint="eastAsia"/>
                <w:b/>
                <w:u w:val="single"/>
              </w:rPr>
              <w:t xml:space="preserve">    </w:t>
            </w:r>
            <w:r>
              <w:rPr>
                <w:rFonts w:hint="eastAsia"/>
                <w:b/>
              </w:rPr>
              <w:t>款规定要求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710" w:type="dxa"/>
            <w:vMerge w:val="continue"/>
            <w:noWrap w:val="0"/>
            <w:vAlign w:val="center"/>
          </w:tcPr>
          <w:p>
            <w:pPr>
              <w:spacing w:line="0" w:lineRule="atLeast"/>
              <w:jc w:val="center"/>
              <w:rPr>
                <w:rFonts w:hint="eastAsia"/>
              </w:rPr>
            </w:pPr>
          </w:p>
        </w:tc>
        <w:tc>
          <w:tcPr>
            <w:tcW w:w="1253" w:type="dxa"/>
            <w:gridSpan w:val="2"/>
            <w:noWrap w:val="0"/>
            <w:vAlign w:val="center"/>
          </w:tcPr>
          <w:p>
            <w:pPr>
              <w:spacing w:line="0" w:lineRule="atLeast"/>
              <w:jc w:val="center"/>
              <w:rPr>
                <w:rFonts w:hint="eastAsia"/>
              </w:rPr>
            </w:pPr>
            <w:r>
              <w:rPr>
                <w:rFonts w:hint="eastAsia"/>
              </w:rPr>
              <w:t>项目总投资</w:t>
            </w:r>
          </w:p>
        </w:tc>
        <w:tc>
          <w:tcPr>
            <w:tcW w:w="1442" w:type="dxa"/>
            <w:gridSpan w:val="2"/>
            <w:noWrap w:val="0"/>
            <w:vAlign w:val="center"/>
          </w:tcPr>
          <w:p>
            <w:pPr>
              <w:spacing w:line="0" w:lineRule="atLeast"/>
              <w:jc w:val="center"/>
              <w:rPr>
                <w:rFonts w:hint="eastAsia"/>
                <w:b/>
              </w:rPr>
            </w:pPr>
            <w:r>
              <w:rPr>
                <w:rFonts w:hint="eastAsia"/>
              </w:rPr>
              <w:tab/>
            </w:r>
            <w:r>
              <w:rPr>
                <w:rFonts w:hint="eastAsia"/>
              </w:rPr>
              <w:t>　万元</w:t>
            </w:r>
          </w:p>
        </w:tc>
        <w:tc>
          <w:tcPr>
            <w:tcW w:w="1092" w:type="dxa"/>
            <w:noWrap w:val="0"/>
            <w:vAlign w:val="center"/>
          </w:tcPr>
          <w:p>
            <w:pPr>
              <w:spacing w:line="0" w:lineRule="atLeast"/>
              <w:jc w:val="center"/>
              <w:rPr>
                <w:rFonts w:hint="eastAsia"/>
                <w:b/>
              </w:rPr>
            </w:pPr>
            <w:r>
              <w:rPr>
                <w:rFonts w:hint="eastAsia"/>
              </w:rPr>
              <w:t>完成直接投资额</w:t>
            </w:r>
          </w:p>
        </w:tc>
        <w:tc>
          <w:tcPr>
            <w:tcW w:w="1620" w:type="dxa"/>
            <w:gridSpan w:val="2"/>
            <w:noWrap w:val="0"/>
            <w:vAlign w:val="center"/>
          </w:tcPr>
          <w:p>
            <w:pPr>
              <w:spacing w:line="0" w:lineRule="atLeast"/>
              <w:jc w:val="right"/>
              <w:rPr>
                <w:rFonts w:hint="eastAsia"/>
                <w:b/>
              </w:rPr>
            </w:pPr>
            <w:r>
              <w:rPr>
                <w:rFonts w:hint="eastAsia"/>
              </w:rPr>
              <w:t>万元</w:t>
            </w:r>
          </w:p>
        </w:tc>
        <w:tc>
          <w:tcPr>
            <w:tcW w:w="1440" w:type="dxa"/>
            <w:noWrap w:val="0"/>
            <w:vAlign w:val="center"/>
          </w:tcPr>
          <w:p>
            <w:pPr>
              <w:spacing w:line="0" w:lineRule="atLeast"/>
              <w:jc w:val="center"/>
              <w:rPr>
                <w:rFonts w:hint="eastAsia"/>
                <w:b/>
              </w:rPr>
            </w:pPr>
            <w:r>
              <w:rPr>
                <w:rFonts w:hint="eastAsia"/>
              </w:rPr>
              <w:t>核准（备案）文号</w:t>
            </w:r>
          </w:p>
        </w:tc>
        <w:tc>
          <w:tcPr>
            <w:tcW w:w="1443" w:type="dxa"/>
            <w:noWrap w:val="0"/>
            <w:vAlign w:val="center"/>
          </w:tcPr>
          <w:p>
            <w:pPr>
              <w:spacing w:line="0" w:lineRule="atLeast"/>
              <w:jc w:val="center"/>
              <w:rPr>
                <w:rFonts w:hint="eastAsia"/>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710" w:type="dxa"/>
            <w:vMerge w:val="continue"/>
            <w:noWrap w:val="0"/>
            <w:vAlign w:val="center"/>
          </w:tcPr>
          <w:p>
            <w:pPr>
              <w:spacing w:line="0" w:lineRule="atLeast"/>
              <w:jc w:val="center"/>
              <w:rPr>
                <w:rFonts w:hint="eastAsia"/>
              </w:rPr>
            </w:pPr>
          </w:p>
        </w:tc>
        <w:tc>
          <w:tcPr>
            <w:tcW w:w="2689" w:type="dxa"/>
            <w:gridSpan w:val="3"/>
            <w:noWrap w:val="0"/>
            <w:vAlign w:val="center"/>
          </w:tcPr>
          <w:p>
            <w:pPr>
              <w:spacing w:line="0" w:lineRule="atLeast"/>
              <w:jc w:val="center"/>
              <w:rPr>
                <w:rFonts w:hint="eastAsia"/>
              </w:rPr>
            </w:pPr>
            <w:r>
              <w:rPr>
                <w:rFonts w:hint="eastAsia"/>
              </w:rPr>
              <w:t>已取得的备案、认证、荣誉、审计等文书名称及编号</w:t>
            </w:r>
          </w:p>
        </w:tc>
        <w:tc>
          <w:tcPr>
            <w:tcW w:w="5601" w:type="dxa"/>
            <w:gridSpan w:val="6"/>
            <w:noWrap w:val="0"/>
            <w:vAlign w:val="center"/>
          </w:tcPr>
          <w:p>
            <w:pPr>
              <w:spacing w:line="0" w:lineRule="atLeas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7" w:hRule="atLeast"/>
          <w:jc w:val="center"/>
        </w:trPr>
        <w:tc>
          <w:tcPr>
            <w:tcW w:w="710" w:type="dxa"/>
            <w:vMerge w:val="continue"/>
            <w:noWrap w:val="0"/>
            <w:vAlign w:val="center"/>
          </w:tcPr>
          <w:p>
            <w:pPr>
              <w:spacing w:line="0" w:lineRule="atLeast"/>
              <w:jc w:val="center"/>
              <w:rPr>
                <w:rFonts w:hint="eastAsia"/>
              </w:rPr>
            </w:pPr>
          </w:p>
        </w:tc>
        <w:tc>
          <w:tcPr>
            <w:tcW w:w="8290" w:type="dxa"/>
            <w:gridSpan w:val="9"/>
            <w:noWrap w:val="0"/>
            <w:vAlign w:val="top"/>
          </w:tcPr>
          <w:p>
            <w:pPr>
              <w:spacing w:line="0" w:lineRule="atLeast"/>
              <w:rPr>
                <w:rFonts w:hint="eastAsia"/>
              </w:rPr>
            </w:pPr>
            <w:r>
              <w:rPr>
                <w:rFonts w:hint="eastAsia"/>
              </w:rPr>
              <w:t>申请内容：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9000" w:type="dxa"/>
            <w:gridSpan w:val="10"/>
            <w:noWrap w:val="0"/>
            <w:vAlign w:val="top"/>
          </w:tcPr>
          <w:p>
            <w:pPr>
              <w:spacing w:line="0" w:lineRule="atLeast"/>
              <w:rPr>
                <w:rFonts w:hint="eastAsia" w:ascii="宋体" w:hAnsi="宋体" w:eastAsia="宋体"/>
                <w:sz w:val="21"/>
                <w:szCs w:val="21"/>
              </w:rPr>
            </w:pPr>
            <w:r>
              <w:rPr>
                <w:rFonts w:hint="eastAsia" w:ascii="宋体" w:hAnsi="宋体" w:eastAsia="宋体"/>
                <w:sz w:val="21"/>
                <w:szCs w:val="21"/>
              </w:rPr>
              <w:t>申报单位承诺：特此声明所提供的申报表及相关材料均为属实。若出现问题，本单位承担一切责任。</w:t>
            </w:r>
          </w:p>
          <w:p>
            <w:pPr>
              <w:spacing w:line="0" w:lineRule="atLeast"/>
              <w:rPr>
                <w:rFonts w:ascii="宋体" w:hAnsi="宋体" w:eastAsia="宋体"/>
                <w:sz w:val="21"/>
                <w:szCs w:val="21"/>
              </w:rPr>
            </w:pPr>
            <w:r>
              <w:rPr>
                <w:rFonts w:hint="eastAsia" w:ascii="宋体" w:hAnsi="宋体" w:eastAsia="宋体"/>
                <w:sz w:val="21"/>
                <w:szCs w:val="21"/>
              </w:rPr>
              <w:t xml:space="preserve">             </w:t>
            </w:r>
          </w:p>
          <w:p>
            <w:pPr>
              <w:spacing w:line="0" w:lineRule="atLeast"/>
              <w:rPr>
                <w:rFonts w:ascii="宋体" w:hAnsi="宋体" w:eastAsia="宋体"/>
                <w:sz w:val="21"/>
                <w:szCs w:val="21"/>
              </w:rPr>
            </w:pPr>
          </w:p>
          <w:p>
            <w:pPr>
              <w:spacing w:line="0" w:lineRule="atLeast"/>
              <w:jc w:val="left"/>
              <w:rPr>
                <w:rFonts w:hint="eastAsia"/>
                <w:color w:val="000000" w:themeColor="text1"/>
                <w14:textFill>
                  <w14:solidFill>
                    <w14:schemeClr w14:val="tx1"/>
                  </w14:solidFill>
                </w14:textFill>
              </w:rPr>
            </w:pPr>
            <w:r>
              <w:rPr>
                <w:rFonts w:hint="eastAsia" w:ascii="宋体" w:hAnsi="宋体" w:eastAsia="宋体"/>
                <w:sz w:val="21"/>
                <w:szCs w:val="21"/>
              </w:rPr>
              <w:t xml:space="preserve">       法定代表人签名：                               日期：</w:t>
            </w:r>
            <w:r>
              <w:rPr>
                <w:rFonts w:hint="eastAsia" w:ascii="宋体" w:hAnsi="宋体" w:eastAsia="宋体"/>
                <w:sz w:val="21"/>
                <w:szCs w:val="21"/>
                <w:lang w:val="en-US" w:eastAsia="zh-CN"/>
              </w:rPr>
              <w:t xml:space="preserve">  </w:t>
            </w:r>
            <w:r>
              <w:rPr>
                <w:rFonts w:hint="eastAsia" w:ascii="宋体" w:hAnsi="宋体" w:eastAsia="宋体"/>
                <w:sz w:val="21"/>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4497" w:type="dxa"/>
            <w:gridSpan w:val="6"/>
            <w:noWrap w:val="0"/>
            <w:vAlign w:val="top"/>
          </w:tcPr>
          <w:p>
            <w:pPr>
              <w:spacing w:line="0" w:lineRule="atLeas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经信部门</w:t>
            </w:r>
            <w:r>
              <w:rPr>
                <w:rFonts w:hint="eastAsia"/>
                <w:color w:val="000000" w:themeColor="text1"/>
                <w:lang w:eastAsia="zh-CN"/>
                <w14:textFill>
                  <w14:solidFill>
                    <w14:schemeClr w14:val="tx1"/>
                  </w14:solidFill>
                </w14:textFill>
              </w:rPr>
              <w:t>（行业主管部门）</w:t>
            </w:r>
            <w:r>
              <w:rPr>
                <w:rFonts w:hint="eastAsia"/>
                <w:color w:val="000000" w:themeColor="text1"/>
                <w14:textFill>
                  <w14:solidFill>
                    <w14:schemeClr w14:val="tx1"/>
                  </w14:solidFill>
                </w14:textFill>
              </w:rPr>
              <w:t>审核意见：</w:t>
            </w:r>
          </w:p>
          <w:p>
            <w:pPr>
              <w:spacing w:line="0" w:lineRule="atLeast"/>
              <w:jc w:val="right"/>
              <w:rPr>
                <w:rFonts w:hint="eastAsia"/>
                <w:i/>
                <w:color w:val="000000" w:themeColor="text1"/>
                <w:u w:val="single"/>
                <w14:textFill>
                  <w14:solidFill>
                    <w14:schemeClr w14:val="tx1"/>
                  </w14:solidFill>
                </w14:textFill>
              </w:rPr>
            </w:pPr>
          </w:p>
          <w:p>
            <w:pPr>
              <w:spacing w:line="0" w:lineRule="atLeast"/>
              <w:jc w:val="right"/>
              <w:rPr>
                <w:rFonts w:hint="eastAsia"/>
                <w:color w:val="000000" w:themeColor="text1"/>
                <w14:textFill>
                  <w14:solidFill>
                    <w14:schemeClr w14:val="tx1"/>
                  </w14:solidFill>
                </w14:textFill>
              </w:rPr>
            </w:pPr>
          </w:p>
          <w:p>
            <w:pPr>
              <w:spacing w:line="0" w:lineRule="atLeast"/>
              <w:jc w:val="right"/>
              <w:rPr>
                <w:rFonts w:hint="eastAsia"/>
                <w:color w:val="000000" w:themeColor="text1"/>
                <w14:textFill>
                  <w14:solidFill>
                    <w14:schemeClr w14:val="tx1"/>
                  </w14:solidFill>
                </w14:textFill>
              </w:rPr>
            </w:pPr>
          </w:p>
          <w:p>
            <w:pPr>
              <w:spacing w:line="0" w:lineRule="atLeast"/>
              <w:jc w:val="right"/>
              <w:rPr>
                <w:rFonts w:hint="eastAsia" w:asciiTheme="minorHAnsi" w:hAnsiTheme="minorHAnsi" w:eastAsiaTheme="minorEastAsia" w:cstheme="minorBidi"/>
                <w:color w:val="000000" w:themeColor="text1"/>
                <w:kern w:val="2"/>
                <w:sz w:val="21"/>
                <w:szCs w:val="22"/>
                <w:lang w:val="en-US" w:eastAsia="zh-CN" w:bidi="ar-SA"/>
                <w14:textFill>
                  <w14:solidFill>
                    <w14:schemeClr w14:val="tx1"/>
                  </w14:solidFill>
                </w14:textFill>
              </w:rPr>
            </w:pPr>
            <w:r>
              <w:rPr>
                <w:rFonts w:hint="eastAsia"/>
                <w:color w:val="000000" w:themeColor="text1"/>
                <w14:textFill>
                  <w14:solidFill>
                    <w14:schemeClr w14:val="tx1"/>
                  </w14:solidFill>
                </w14:textFill>
              </w:rPr>
              <w:t>（盖章）</w:t>
            </w:r>
          </w:p>
        </w:tc>
        <w:tc>
          <w:tcPr>
            <w:tcW w:w="4503" w:type="dxa"/>
            <w:gridSpan w:val="4"/>
            <w:noWrap w:val="0"/>
            <w:vAlign w:val="top"/>
          </w:tcPr>
          <w:p>
            <w:pPr>
              <w:spacing w:line="0" w:lineRule="atLeast"/>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财政部门审核意见：</w:t>
            </w:r>
          </w:p>
          <w:p>
            <w:pPr>
              <w:spacing w:line="0" w:lineRule="atLeast"/>
              <w:jc w:val="right"/>
              <w:rPr>
                <w:rFonts w:hint="eastAsia"/>
                <w:color w:val="000000" w:themeColor="text1"/>
                <w14:textFill>
                  <w14:solidFill>
                    <w14:schemeClr w14:val="tx1"/>
                  </w14:solidFill>
                </w14:textFill>
              </w:rPr>
            </w:pPr>
          </w:p>
          <w:p>
            <w:pPr>
              <w:spacing w:line="0" w:lineRule="atLeast"/>
              <w:jc w:val="right"/>
              <w:rPr>
                <w:rFonts w:hint="eastAsia"/>
                <w:color w:val="000000" w:themeColor="text1"/>
                <w14:textFill>
                  <w14:solidFill>
                    <w14:schemeClr w14:val="tx1"/>
                  </w14:solidFill>
                </w14:textFill>
              </w:rPr>
            </w:pPr>
          </w:p>
          <w:p>
            <w:pPr>
              <w:spacing w:line="0" w:lineRule="atLeast"/>
              <w:jc w:val="right"/>
              <w:rPr>
                <w:rFonts w:hint="eastAsia"/>
                <w:color w:val="000000" w:themeColor="text1"/>
                <w14:textFill>
                  <w14:solidFill>
                    <w14:schemeClr w14:val="tx1"/>
                  </w14:solidFill>
                </w14:textFill>
              </w:rPr>
            </w:pPr>
          </w:p>
          <w:p>
            <w:pPr>
              <w:spacing w:line="0" w:lineRule="atLeast"/>
              <w:jc w:val="right"/>
              <w:rPr>
                <w:rFonts w:hint="eastAsia" w:asciiTheme="minorHAnsi" w:hAnsiTheme="minorHAnsi" w:eastAsiaTheme="minorEastAsia" w:cstheme="minorBidi"/>
                <w:color w:val="000000" w:themeColor="text1"/>
                <w:kern w:val="2"/>
                <w:sz w:val="21"/>
                <w:szCs w:val="22"/>
                <w:lang w:val="en-US" w:eastAsia="zh-CN" w:bidi="ar-SA"/>
                <w14:textFill>
                  <w14:solidFill>
                    <w14:schemeClr w14:val="tx1"/>
                  </w14:solidFill>
                </w14:textFill>
              </w:rPr>
            </w:pPr>
            <w:r>
              <w:rPr>
                <w:rFonts w:hint="eastAsia"/>
                <w:color w:val="000000" w:themeColor="text1"/>
                <w14:textFill>
                  <w14:solidFill>
                    <w14:schemeClr w14:val="tx1"/>
                  </w14:solidFill>
                </w14:textFill>
              </w:rPr>
              <w:t>（盖章）</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ascii="仿宋_GB2312" w:hAnsi="仿宋_GB2312" w:eastAsia="仿宋_GB2312" w:cs="仿宋_GB2312"/>
          <w:sz w:val="32"/>
          <w:szCs w:val="32"/>
          <w:lang w:val="en-US" w:eastAsia="zh-CN"/>
        </w:rPr>
      </w:pPr>
    </w:p>
    <w:p>
      <w:pPr>
        <w:pStyle w:val="2"/>
        <w:rPr>
          <w:rFonts w:hint="eastAsia" w:ascii="仿宋_GB2312" w:hAnsi="仿宋_GB2312" w:eastAsia="仿宋_GB2312" w:cs="仿宋_GB2312"/>
          <w:sz w:val="32"/>
          <w:szCs w:val="32"/>
          <w:lang w:val="en-US" w:eastAsia="zh-CN"/>
        </w:rPr>
      </w:pPr>
    </w:p>
    <w:p>
      <w:pPr>
        <w:rPr>
          <w:rFonts w:hint="eastAsia"/>
          <w:lang w:val="en-US" w:eastAsia="zh-CN"/>
        </w:rPr>
      </w:pPr>
    </w:p>
    <w:p>
      <w:pPr>
        <w:pStyle w:val="2"/>
        <w:rPr>
          <w:rFonts w:hint="eastAsia" w:ascii="仿宋_GB2312" w:hAnsi="仿宋_GB2312" w:eastAsia="仿宋_GB2312" w:cs="仿宋_GB2312"/>
          <w:sz w:val="32"/>
          <w:szCs w:val="32"/>
          <w:lang w:val="en-US" w:eastAsia="zh-CN"/>
        </w:rPr>
      </w:pPr>
    </w:p>
    <w:p>
      <w:pPr>
        <w:tabs>
          <w:tab w:val="right" w:pos="8820"/>
        </w:tabs>
        <w:wordWrap w:val="0"/>
        <w:snapToGrid w:val="0"/>
        <w:spacing w:line="560" w:lineRule="exact"/>
        <w:ind w:right="24"/>
        <w:rPr>
          <w:rFonts w:ascii="黑体" w:eastAsia="黑体"/>
          <w:spacing w:val="-6"/>
          <w:szCs w:val="32"/>
        </w:rPr>
      </w:pPr>
      <w:r>
        <w:rPr>
          <w:rFonts w:hint="eastAsia" w:ascii="黑体" w:eastAsia="黑体"/>
          <w:spacing w:val="-6"/>
          <w:szCs w:val="32"/>
        </w:rPr>
        <w:tab/>
      </w:r>
      <w:r>
        <w:rPr>
          <w:rFonts w:hint="eastAsia" w:ascii="黑体" w:eastAsia="黑体"/>
          <w:spacing w:val="-6"/>
          <w:szCs w:val="32"/>
        </w:rPr>
        <w:t>　　　</w:t>
      </w:r>
    </w:p>
    <w:p>
      <w:pPr>
        <w:ind w:right="-624" w:rightChars="-297" w:firstLine="210" w:firstLineChars="100"/>
        <w:rPr>
          <w:rFonts w:ascii="仿宋_GB2312" w:eastAsia="仿宋_GB2312"/>
          <w:sz w:val="32"/>
          <w:szCs w:val="32"/>
        </w:rPr>
      </w:pPr>
      <w:r>
        <w:rPr>
          <w:rFonts w:asciiTheme="minorHAnsi" w:eastAsiaTheme="minorEastAsia"/>
        </w:rPr>
        <mc:AlternateContent>
          <mc:Choice Requires="wps">
            <w:drawing>
              <wp:anchor distT="0" distB="0" distL="114300" distR="114300" simplePos="0" relativeHeight="251661312" behindDoc="0" locked="0" layoutInCell="1" allowOverlap="0">
                <wp:simplePos x="0" y="0"/>
                <wp:positionH relativeFrom="column">
                  <wp:posOffset>14605</wp:posOffset>
                </wp:positionH>
                <wp:positionV relativeFrom="paragraph">
                  <wp:posOffset>510540</wp:posOffset>
                </wp:positionV>
                <wp:extent cx="5579745" cy="0"/>
                <wp:effectExtent l="0" t="0" r="0" b="0"/>
                <wp:wrapTopAndBottom/>
                <wp:docPr id="4" name="Line 265"/>
                <wp:cNvGraphicFramePr/>
                <a:graphic xmlns:a="http://schemas.openxmlformats.org/drawingml/2006/main">
                  <a:graphicData uri="http://schemas.microsoft.com/office/word/2010/wordprocessingShape">
                    <wps:wsp>
                      <wps:cNvCnPr>
                        <a:cxnSpLocks noChangeShapeType="1"/>
                      </wps:cNvCnPr>
                      <wps:spPr bwMode="auto">
                        <a:xfrm>
                          <a:off x="0" y="0"/>
                          <a:ext cx="5579745" cy="0"/>
                        </a:xfrm>
                        <a:prstGeom prst="line">
                          <a:avLst/>
                        </a:prstGeom>
                        <a:noFill/>
                        <a:ln w="12700">
                          <a:solidFill>
                            <a:srgbClr val="000000"/>
                          </a:solidFill>
                          <a:round/>
                        </a:ln>
                        <a:effectLst/>
                      </wps:spPr>
                      <wps:bodyPr/>
                    </wps:wsp>
                  </a:graphicData>
                </a:graphic>
              </wp:anchor>
            </w:drawing>
          </mc:Choice>
          <mc:Fallback>
            <w:pict>
              <v:line id="Line 265" o:spid="_x0000_s1026" o:spt="20" style="position:absolute;left:0pt;margin-left:1.15pt;margin-top:40.2pt;height:0pt;width:439.35pt;mso-wrap-distance-bottom:0pt;mso-wrap-distance-top:0pt;z-index:251661312;mso-width-relative:page;mso-height-relative:page;" filled="f" stroked="t" coordsize="21600,21600" o:allowoverlap="f" o:gfxdata="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5efz2tUAAAAHAQAADwAAAAAAAAABACAAAAAiAAAAZHJzL2Rvd25yZXYueG1sUEsBAhQAFAAAAAgA&#10;h07iQLFRiJ22AQAAYgMAAA4AAAAAAAAAAQAgAAAAJAEAAGRycy9lMm9Eb2MueG1sUEsFBgAAAAAG&#10;AAYAWQEAAEwFAAAAAA==&#10;">
                <v:fill on="f" focussize="0,0"/>
                <v:stroke weight="1pt" color="#000000" joinstyle="round"/>
                <v:imagedata o:title=""/>
                <o:lock v:ext="edit" aspectratio="f"/>
                <w10:wrap type="topAndBottom"/>
              </v:line>
            </w:pict>
          </mc:Fallback>
        </mc:AlternateContent>
      </w:r>
      <w:r>
        <w:rPr>
          <w:rFonts w:asciiTheme="minorHAnsi" w:eastAsiaTheme="minorEastAsia"/>
        </w:rPr>
        <mc:AlternateContent>
          <mc:Choice Requires="wps">
            <w:drawing>
              <wp:anchor distT="0" distB="0" distL="114300" distR="114300" simplePos="0" relativeHeight="251660288" behindDoc="0" locked="0" layoutInCell="1" allowOverlap="0">
                <wp:simplePos x="0" y="0"/>
                <wp:positionH relativeFrom="column">
                  <wp:posOffset>19050</wp:posOffset>
                </wp:positionH>
                <wp:positionV relativeFrom="paragraph">
                  <wp:posOffset>108585</wp:posOffset>
                </wp:positionV>
                <wp:extent cx="5579745" cy="0"/>
                <wp:effectExtent l="0" t="0" r="0" b="0"/>
                <wp:wrapTopAndBottom/>
                <wp:docPr id="2" name="KeywordLine"/>
                <wp:cNvGraphicFramePr/>
                <a:graphic xmlns:a="http://schemas.openxmlformats.org/drawingml/2006/main">
                  <a:graphicData uri="http://schemas.microsoft.com/office/word/2010/wordprocessingShape">
                    <wps:wsp>
                      <wps:cNvCnPr>
                        <a:cxnSpLocks noChangeShapeType="1"/>
                      </wps:cNvCnPr>
                      <wps:spPr bwMode="auto">
                        <a:xfrm>
                          <a:off x="0" y="0"/>
                          <a:ext cx="5579745" cy="0"/>
                        </a:xfrm>
                        <a:prstGeom prst="line">
                          <a:avLst/>
                        </a:prstGeom>
                        <a:noFill/>
                        <a:ln w="12700">
                          <a:solidFill>
                            <a:srgbClr val="000000"/>
                          </a:solidFill>
                          <a:round/>
                        </a:ln>
                        <a:effectLst/>
                      </wps:spPr>
                      <wps:bodyPr/>
                    </wps:wsp>
                  </a:graphicData>
                </a:graphic>
              </wp:anchor>
            </w:drawing>
          </mc:Choice>
          <mc:Fallback>
            <w:pict>
              <v:line id="KeywordLine" o:spid="_x0000_s1026" o:spt="20" style="position:absolute;left:0pt;margin-left:1.5pt;margin-top:8.55pt;height:0pt;width:439.35pt;mso-wrap-distance-bottom:0pt;mso-wrap-distance-top:0pt;z-index:251660288;mso-width-relative:page;mso-height-relative:page;" filled="f" stroked="t" coordsize="21600,21600" o:allowoverlap="f" o:gfxdata="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hgtUT1QAAAAcBAAAPAAAAAAAAAAEAIAAAACIAAABkcnMvZG93bnJldi54bWxQSwECFAAUAAAA&#10;CACHTuJAg9nBf7gBAABlAwAADgAAAAAAAAABACAAAAAkAQAAZHJzL2Uyb0RvYy54bWxQSwUGAAAA&#10;AAYABgBZAQAATgUAAAAA&#10;">
                <v:fill on="f" focussize="0,0"/>
                <v:stroke weight="1pt" color="#000000" joinstyle="round"/>
                <v:imagedata o:title=""/>
                <o:lock v:ext="edit" aspectratio="f"/>
                <w10:wrap type="topAndBottom"/>
              </v:line>
            </w:pict>
          </mc:Fallback>
        </mc:AlternateContent>
      </w:r>
      <w:r>
        <w:rPr>
          <w:rFonts w:hint="eastAsia" w:ascii="仿宋_GB2312" w:eastAsia="仿宋_GB2312"/>
          <w:sz w:val="28"/>
          <w:szCs w:val="28"/>
        </w:rPr>
        <w:t xml:space="preserve">丽水市经济和信息化局办公室          </w:t>
      </w:r>
      <w:r>
        <w:rPr>
          <w:rFonts w:hint="eastAsia" w:ascii="仿宋_GB2312" w:eastAsia="仿宋_GB2312"/>
          <w:sz w:val="28"/>
          <w:szCs w:val="28"/>
          <w:lang w:val="en-US" w:eastAsia="zh-CN"/>
        </w:rPr>
        <w:t xml:space="preserve">  </w:t>
      </w:r>
      <w:r>
        <w:rPr>
          <w:rFonts w:hint="eastAsia" w:ascii="仿宋_GB2312" w:eastAsia="仿宋_GB2312"/>
          <w:sz w:val="28"/>
          <w:szCs w:val="28"/>
        </w:rPr>
        <w:t xml:space="preserve">   20</w:t>
      </w:r>
      <w:r>
        <w:rPr>
          <w:rFonts w:hint="eastAsia" w:ascii="仿宋_GB2312" w:eastAsia="仿宋_GB2312"/>
          <w:sz w:val="28"/>
          <w:szCs w:val="28"/>
          <w:lang w:val="en-US" w:eastAsia="zh-CN"/>
        </w:rPr>
        <w:t>25</w:t>
      </w:r>
      <w:r>
        <w:rPr>
          <w:rFonts w:hint="eastAsia" w:ascii="仿宋_GB2312" w:eastAsia="仿宋_GB2312"/>
          <w:sz w:val="28"/>
          <w:szCs w:val="28"/>
        </w:rPr>
        <w:t>年9月</w:t>
      </w:r>
      <w:r>
        <w:rPr>
          <w:rFonts w:hint="eastAsia" w:ascii="仿宋_GB2312" w:eastAsia="仿宋_GB2312"/>
          <w:sz w:val="28"/>
          <w:szCs w:val="28"/>
          <w:lang w:val="en-US" w:eastAsia="zh-CN"/>
        </w:rPr>
        <w:t>4</w:t>
      </w:r>
      <w:r>
        <w:rPr>
          <w:rFonts w:hint="eastAsia" w:ascii="仿宋_GB2312" w:eastAsia="仿宋_GB2312"/>
          <w:sz w:val="28"/>
          <w:szCs w:val="28"/>
        </w:rPr>
        <w:t xml:space="preserve">日印发 </w:t>
      </w:r>
    </w:p>
    <w:p>
      <w:pPr>
        <w:keepNext w:val="0"/>
        <w:keepLines w:val="0"/>
        <w:pageBreakBefore w:val="0"/>
        <w:widowControl w:val="0"/>
        <w:kinsoku/>
        <w:wordWrap/>
        <w:overflowPunct/>
        <w:topLinePunct w:val="0"/>
        <w:autoSpaceDE/>
        <w:autoSpaceDN/>
        <w:bidi w:val="0"/>
        <w:adjustRightInd/>
        <w:snapToGrid/>
        <w:spacing w:line="0" w:lineRule="atLeast"/>
        <w:textAlignment w:val="auto"/>
        <w:rPr>
          <w:rFonts w:hint="eastAsia"/>
          <w:sz w:val="10"/>
          <w:szCs w:val="10"/>
          <w:lang w:val="en-US" w:eastAsia="zh-CN"/>
        </w:rPr>
      </w:pPr>
    </w:p>
    <w:sectPr>
      <w:pgSz w:w="11906" w:h="16838"/>
      <w:pgMar w:top="1814" w:right="1531" w:bottom="1531" w:left="1531" w:header="851" w:footer="964"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11EC"/>
    <w:rsid w:val="001211EC"/>
    <w:rsid w:val="0016366A"/>
    <w:rsid w:val="001D54A6"/>
    <w:rsid w:val="003A2E7F"/>
    <w:rsid w:val="00607304"/>
    <w:rsid w:val="0070705A"/>
    <w:rsid w:val="00775758"/>
    <w:rsid w:val="0085306D"/>
    <w:rsid w:val="00AE757D"/>
    <w:rsid w:val="00FC7A63"/>
    <w:rsid w:val="01E66CC3"/>
    <w:rsid w:val="02385EB1"/>
    <w:rsid w:val="0244116E"/>
    <w:rsid w:val="027310B4"/>
    <w:rsid w:val="028D622D"/>
    <w:rsid w:val="02955ECE"/>
    <w:rsid w:val="02E6547B"/>
    <w:rsid w:val="02EE0B81"/>
    <w:rsid w:val="04092649"/>
    <w:rsid w:val="048B5AC7"/>
    <w:rsid w:val="04DC28AF"/>
    <w:rsid w:val="05167A86"/>
    <w:rsid w:val="05DF0A32"/>
    <w:rsid w:val="06600F40"/>
    <w:rsid w:val="06942A9A"/>
    <w:rsid w:val="06AD408A"/>
    <w:rsid w:val="07C93A7B"/>
    <w:rsid w:val="07D40861"/>
    <w:rsid w:val="07FF55E3"/>
    <w:rsid w:val="08587EFE"/>
    <w:rsid w:val="087D340F"/>
    <w:rsid w:val="092609C5"/>
    <w:rsid w:val="09847BAC"/>
    <w:rsid w:val="0A9817A4"/>
    <w:rsid w:val="0A9D1C32"/>
    <w:rsid w:val="0BCB61BB"/>
    <w:rsid w:val="0C080F99"/>
    <w:rsid w:val="0C350D5E"/>
    <w:rsid w:val="0D0A7736"/>
    <w:rsid w:val="0E964330"/>
    <w:rsid w:val="0EEE4EDA"/>
    <w:rsid w:val="0F9762C6"/>
    <w:rsid w:val="0F9E409E"/>
    <w:rsid w:val="102A4509"/>
    <w:rsid w:val="10BC5323"/>
    <w:rsid w:val="117213DD"/>
    <w:rsid w:val="11A36E62"/>
    <w:rsid w:val="11D22C69"/>
    <w:rsid w:val="137C6856"/>
    <w:rsid w:val="140173B2"/>
    <w:rsid w:val="15141D98"/>
    <w:rsid w:val="1571007F"/>
    <w:rsid w:val="168C228B"/>
    <w:rsid w:val="177B7D70"/>
    <w:rsid w:val="18B634EF"/>
    <w:rsid w:val="19724B54"/>
    <w:rsid w:val="19F15C55"/>
    <w:rsid w:val="1BF05ED3"/>
    <w:rsid w:val="1C247C8A"/>
    <w:rsid w:val="1CFD4A7F"/>
    <w:rsid w:val="1DE74EBE"/>
    <w:rsid w:val="1DF40094"/>
    <w:rsid w:val="1ED70D43"/>
    <w:rsid w:val="20B42BE2"/>
    <w:rsid w:val="210F764F"/>
    <w:rsid w:val="22666C27"/>
    <w:rsid w:val="231242E9"/>
    <w:rsid w:val="236B46A9"/>
    <w:rsid w:val="23C15371"/>
    <w:rsid w:val="23CF4C5B"/>
    <w:rsid w:val="24650669"/>
    <w:rsid w:val="25363D22"/>
    <w:rsid w:val="255F28C7"/>
    <w:rsid w:val="25A45C2A"/>
    <w:rsid w:val="26011AC6"/>
    <w:rsid w:val="28082B3A"/>
    <w:rsid w:val="29B51819"/>
    <w:rsid w:val="2B48048A"/>
    <w:rsid w:val="2BA237E4"/>
    <w:rsid w:val="2D9C343E"/>
    <w:rsid w:val="2DC8795C"/>
    <w:rsid w:val="2E693B7B"/>
    <w:rsid w:val="2F77629E"/>
    <w:rsid w:val="2FCFA1A6"/>
    <w:rsid w:val="304F6148"/>
    <w:rsid w:val="30CB6757"/>
    <w:rsid w:val="31031914"/>
    <w:rsid w:val="31836E3A"/>
    <w:rsid w:val="326251E5"/>
    <w:rsid w:val="35976D5E"/>
    <w:rsid w:val="35A83254"/>
    <w:rsid w:val="366517AC"/>
    <w:rsid w:val="36C503C3"/>
    <w:rsid w:val="372E4FF4"/>
    <w:rsid w:val="381A46E6"/>
    <w:rsid w:val="38884ECE"/>
    <w:rsid w:val="399C7E8D"/>
    <w:rsid w:val="3AA87D22"/>
    <w:rsid w:val="3AB539B5"/>
    <w:rsid w:val="3C0C148B"/>
    <w:rsid w:val="3C4C2007"/>
    <w:rsid w:val="3C6B3BD0"/>
    <w:rsid w:val="3CBF464A"/>
    <w:rsid w:val="3CF47B4E"/>
    <w:rsid w:val="3D7124B0"/>
    <w:rsid w:val="3DBB65C1"/>
    <w:rsid w:val="3E364BDD"/>
    <w:rsid w:val="3E7BC5ED"/>
    <w:rsid w:val="3E7F7D66"/>
    <w:rsid w:val="3EEF7169"/>
    <w:rsid w:val="3F0A010C"/>
    <w:rsid w:val="3F421187"/>
    <w:rsid w:val="3F916C89"/>
    <w:rsid w:val="3F9A58A1"/>
    <w:rsid w:val="3F9C5E68"/>
    <w:rsid w:val="3F9F7215"/>
    <w:rsid w:val="413210C1"/>
    <w:rsid w:val="4184686D"/>
    <w:rsid w:val="418D0751"/>
    <w:rsid w:val="4199011B"/>
    <w:rsid w:val="430D2E49"/>
    <w:rsid w:val="431B36B7"/>
    <w:rsid w:val="433F1AD5"/>
    <w:rsid w:val="43C7673C"/>
    <w:rsid w:val="44045C1A"/>
    <w:rsid w:val="44432A32"/>
    <w:rsid w:val="44C34A5E"/>
    <w:rsid w:val="44CE02D4"/>
    <w:rsid w:val="44FE44B1"/>
    <w:rsid w:val="45EF060E"/>
    <w:rsid w:val="47F2135C"/>
    <w:rsid w:val="48AA319A"/>
    <w:rsid w:val="48CF6B09"/>
    <w:rsid w:val="48D41D20"/>
    <w:rsid w:val="4AD17F05"/>
    <w:rsid w:val="4B04544F"/>
    <w:rsid w:val="4B6C38E1"/>
    <w:rsid w:val="4B8556CA"/>
    <w:rsid w:val="4C2436B4"/>
    <w:rsid w:val="4D573F91"/>
    <w:rsid w:val="4DCD78E6"/>
    <w:rsid w:val="4DE82E66"/>
    <w:rsid w:val="4DE92339"/>
    <w:rsid w:val="4F003B8C"/>
    <w:rsid w:val="512C749A"/>
    <w:rsid w:val="51F9317C"/>
    <w:rsid w:val="529123BF"/>
    <w:rsid w:val="532367E8"/>
    <w:rsid w:val="54094BA0"/>
    <w:rsid w:val="54794CFC"/>
    <w:rsid w:val="55AA6A8D"/>
    <w:rsid w:val="56556867"/>
    <w:rsid w:val="57B5D5DD"/>
    <w:rsid w:val="59881C74"/>
    <w:rsid w:val="59C93E63"/>
    <w:rsid w:val="59E1277A"/>
    <w:rsid w:val="5A7440A2"/>
    <w:rsid w:val="5A83B328"/>
    <w:rsid w:val="5A846F11"/>
    <w:rsid w:val="5A8D0517"/>
    <w:rsid w:val="5AAD595C"/>
    <w:rsid w:val="5AC273E1"/>
    <w:rsid w:val="5AF41F9B"/>
    <w:rsid w:val="5BAE1923"/>
    <w:rsid w:val="5C0128B6"/>
    <w:rsid w:val="5C572475"/>
    <w:rsid w:val="5DC718B3"/>
    <w:rsid w:val="5DF62784"/>
    <w:rsid w:val="5EA408D5"/>
    <w:rsid w:val="5EA8718B"/>
    <w:rsid w:val="5ED33790"/>
    <w:rsid w:val="5F04649D"/>
    <w:rsid w:val="5F5F495B"/>
    <w:rsid w:val="609E4048"/>
    <w:rsid w:val="62C00B26"/>
    <w:rsid w:val="633542F9"/>
    <w:rsid w:val="633665BC"/>
    <w:rsid w:val="63D802B5"/>
    <w:rsid w:val="652338D7"/>
    <w:rsid w:val="65286357"/>
    <w:rsid w:val="65AE7266"/>
    <w:rsid w:val="65B41B34"/>
    <w:rsid w:val="66F539F2"/>
    <w:rsid w:val="67697C37"/>
    <w:rsid w:val="682D4BD9"/>
    <w:rsid w:val="69615DFF"/>
    <w:rsid w:val="6966212F"/>
    <w:rsid w:val="697E7A6B"/>
    <w:rsid w:val="69D751B9"/>
    <w:rsid w:val="6B6B3A93"/>
    <w:rsid w:val="6BB05694"/>
    <w:rsid w:val="6CAD3EC5"/>
    <w:rsid w:val="6D054E93"/>
    <w:rsid w:val="6D6B6416"/>
    <w:rsid w:val="6E947726"/>
    <w:rsid w:val="6F9A688A"/>
    <w:rsid w:val="6FDB0642"/>
    <w:rsid w:val="70BF68F7"/>
    <w:rsid w:val="70C83107"/>
    <w:rsid w:val="72C501F6"/>
    <w:rsid w:val="732F0C2F"/>
    <w:rsid w:val="739D4F15"/>
    <w:rsid w:val="746D617E"/>
    <w:rsid w:val="74FA4BDF"/>
    <w:rsid w:val="75EE5470"/>
    <w:rsid w:val="78730B1A"/>
    <w:rsid w:val="791C476F"/>
    <w:rsid w:val="793F5B24"/>
    <w:rsid w:val="7B23283D"/>
    <w:rsid w:val="7BC409B8"/>
    <w:rsid w:val="7D126A2D"/>
    <w:rsid w:val="7D862521"/>
    <w:rsid w:val="7E3B4EDB"/>
    <w:rsid w:val="7EBF1405"/>
    <w:rsid w:val="7F736C64"/>
    <w:rsid w:val="7FB3A32D"/>
    <w:rsid w:val="B1AD391D"/>
    <w:rsid w:val="B76D318A"/>
    <w:rsid w:val="BF9C32B6"/>
    <w:rsid w:val="BFFE0501"/>
    <w:rsid w:val="BFFE3D2D"/>
    <w:rsid w:val="CFBCCA34"/>
    <w:rsid w:val="DFCFB106"/>
    <w:rsid w:val="E013690C"/>
    <w:rsid w:val="EB5F0AB0"/>
    <w:rsid w:val="EFEFE33F"/>
    <w:rsid w:val="F3F77606"/>
    <w:rsid w:val="FF7E106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spacing w:before="120"/>
    </w:pPr>
    <w:rPr>
      <w:rFonts w:ascii="Cambria" w:hAnsi="Cambria" w:cs="Times New Roman"/>
      <w:sz w:val="24"/>
    </w:rPr>
  </w:style>
  <w:style w:type="paragraph" w:styleId="3">
    <w:name w:val="annotation text"/>
    <w:basedOn w:val="1"/>
    <w:semiHidden/>
    <w:unhideWhenUsed/>
    <w:qFormat/>
    <w:uiPriority w:val="99"/>
    <w:pPr>
      <w:jc w:val="left"/>
    </w:pPr>
  </w:style>
  <w:style w:type="paragraph" w:styleId="4">
    <w:name w:val="footer"/>
    <w:basedOn w:val="1"/>
    <w:link w:val="10"/>
    <w:semiHidden/>
    <w:unhideWhenUsed/>
    <w:qFormat/>
    <w:uiPriority w:val="99"/>
    <w:pPr>
      <w:tabs>
        <w:tab w:val="center" w:pos="4153"/>
        <w:tab w:val="right" w:pos="8306"/>
      </w:tabs>
      <w:snapToGrid w:val="0"/>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页眉 Char"/>
    <w:basedOn w:val="8"/>
    <w:link w:val="5"/>
    <w:semiHidden/>
    <w:qFormat/>
    <w:uiPriority w:val="99"/>
    <w:rPr>
      <w:sz w:val="18"/>
      <w:szCs w:val="18"/>
    </w:rPr>
  </w:style>
  <w:style w:type="character" w:customStyle="1" w:styleId="10">
    <w:name w:val="页脚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Sky123.Org</Company>
  <Pages>1</Pages>
  <Words>517</Words>
  <Characters>2948</Characters>
  <Lines>1</Lines>
  <Paragraphs>1</Paragraphs>
  <TotalTime>11</TotalTime>
  <ScaleCrop>false</ScaleCrop>
  <LinksUpToDate>false</LinksUpToDate>
  <CharactersWithSpaces>3459</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2021-01-29T19:00:00Z</dcterms:created>
  <dc:creator>开发区经贸局文书</dc:creator>
  <cp:lastModifiedBy>市经信局文印</cp:lastModifiedBy>
  <cp:lastPrinted>2021-07-24T17:28:00Z</cp:lastPrinted>
  <dcterms:modified xsi:type="dcterms:W3CDTF">2025-09-04T09:22:16Z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230A23B37E70401193607FAA9807B7F5</vt:lpwstr>
  </property>
</Properties>
</file>