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0" w:beforeAutospacing="0" w:after="0" w:afterAutospacing="0" w:line="600" w:lineRule="exact"/>
        <w:jc w:val="center"/>
        <w:rPr>
          <w:rFonts w:hint="eastAsia" w:ascii="方正小标宋简体" w:hAnsi="方正小标宋简体" w:eastAsia="方正小标宋简体" w:cs="方正小标宋简体"/>
          <w:color w:val="333333"/>
          <w:sz w:val="44"/>
          <w:szCs w:val="44"/>
          <w:shd w:val="clear" w:color="auto" w:fill="FFFFFF"/>
        </w:rPr>
      </w:pPr>
      <w:r>
        <w:rPr>
          <w:rFonts w:hint="eastAsia" w:ascii="方正小标宋简体" w:hAnsi="方正小标宋简体" w:eastAsia="方正小标宋简体" w:cs="方正小标宋简体"/>
          <w:color w:val="333333"/>
          <w:sz w:val="44"/>
          <w:szCs w:val="44"/>
          <w:shd w:val="clear" w:color="auto" w:fill="FFFFFF"/>
        </w:rPr>
        <w:t>市级生态环境部门政府信息主动公开基本目录</w:t>
      </w:r>
    </w:p>
    <w:p>
      <w:pPr>
        <w:pStyle w:val="5"/>
        <w:widowControl/>
        <w:shd w:val="clear" w:color="auto" w:fill="FFFFFF"/>
        <w:spacing w:before="0" w:beforeAutospacing="0" w:after="0" w:afterAutospacing="0" w:line="600" w:lineRule="exact"/>
        <w:jc w:val="center"/>
        <w:rPr>
          <w:rFonts w:hint="eastAsia" w:ascii="方正小标宋简体" w:hAnsi="方正小标宋简体" w:eastAsia="方正小标宋简体" w:cs="方正小标宋简体"/>
          <w:color w:val="333333"/>
          <w:sz w:val="44"/>
          <w:szCs w:val="44"/>
          <w:shd w:val="clear" w:color="auto" w:fill="FFFFFF"/>
        </w:rPr>
      </w:pPr>
    </w:p>
    <w:tbl>
      <w:tblPr>
        <w:tblStyle w:val="6"/>
        <w:tblW w:w="150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1093"/>
        <w:gridCol w:w="1134"/>
        <w:gridCol w:w="2410"/>
        <w:gridCol w:w="992"/>
        <w:gridCol w:w="1134"/>
        <w:gridCol w:w="2067"/>
        <w:gridCol w:w="1533"/>
        <w:gridCol w:w="1267"/>
        <w:gridCol w:w="1757"/>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sz w:val="21"/>
                <w:szCs w:val="21"/>
                <w:highlight w:val="none"/>
              </w:rPr>
            </w:pPr>
            <w:bookmarkStart w:id="0" w:name="_GoBack"/>
            <w:r>
              <w:rPr>
                <w:rFonts w:hint="eastAsia" w:ascii="黑体" w:hAnsi="黑体" w:eastAsia="黑体" w:cs="黑体"/>
                <w:color w:val="333333"/>
                <w:sz w:val="21"/>
                <w:szCs w:val="21"/>
                <w:highlight w:val="none"/>
              </w:rPr>
              <w:t>事项类别</w:t>
            </w:r>
          </w:p>
        </w:tc>
        <w:tc>
          <w:tcPr>
            <w:tcW w:w="1134"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color w:val="333333"/>
                <w:sz w:val="21"/>
                <w:szCs w:val="21"/>
                <w:highlight w:val="none"/>
              </w:rPr>
            </w:pPr>
            <w:r>
              <w:rPr>
                <w:rFonts w:hint="eastAsia" w:ascii="黑体" w:hAnsi="黑体" w:eastAsia="黑体" w:cs="黑体"/>
                <w:color w:val="333333"/>
                <w:sz w:val="21"/>
                <w:szCs w:val="21"/>
                <w:highlight w:val="none"/>
              </w:rPr>
              <w:t>事项名称</w:t>
            </w:r>
          </w:p>
        </w:tc>
        <w:tc>
          <w:tcPr>
            <w:tcW w:w="2410"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sz w:val="21"/>
                <w:szCs w:val="21"/>
                <w:highlight w:val="none"/>
              </w:rPr>
            </w:pPr>
            <w:r>
              <w:rPr>
                <w:rFonts w:hint="eastAsia" w:ascii="黑体" w:hAnsi="黑体" w:eastAsia="黑体" w:cs="黑体"/>
                <w:color w:val="333333"/>
                <w:sz w:val="21"/>
                <w:szCs w:val="21"/>
                <w:highlight w:val="none"/>
              </w:rPr>
              <w:t>公开依据</w:t>
            </w:r>
          </w:p>
        </w:tc>
        <w:tc>
          <w:tcPr>
            <w:tcW w:w="992" w:type="dxa"/>
            <w:shd w:val="clear" w:color="auto" w:fill="FFFFFF"/>
            <w:noWrap w:val="0"/>
            <w:vAlign w:val="center"/>
          </w:tcPr>
          <w:p>
            <w:pPr>
              <w:pStyle w:val="5"/>
              <w:widowControl/>
              <w:spacing w:before="0" w:beforeAutospacing="0" w:after="0" w:afterAutospacing="0" w:line="320" w:lineRule="exact"/>
              <w:ind w:firstLine="105" w:firstLineChars="50"/>
              <w:jc w:val="center"/>
              <w:rPr>
                <w:rFonts w:hint="eastAsia" w:ascii="黑体" w:hAnsi="黑体" w:eastAsia="黑体" w:cs="黑体"/>
                <w:color w:val="333333"/>
                <w:sz w:val="21"/>
                <w:szCs w:val="21"/>
                <w:highlight w:val="none"/>
              </w:rPr>
            </w:pPr>
            <w:r>
              <w:rPr>
                <w:rFonts w:hint="eastAsia" w:ascii="黑体" w:hAnsi="黑体" w:eastAsia="黑体" w:cs="黑体"/>
                <w:color w:val="333333"/>
                <w:sz w:val="21"/>
                <w:szCs w:val="21"/>
                <w:highlight w:val="none"/>
              </w:rPr>
              <w:t>过程</w:t>
            </w:r>
          </w:p>
        </w:tc>
        <w:tc>
          <w:tcPr>
            <w:tcW w:w="1134"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sz w:val="21"/>
                <w:szCs w:val="21"/>
                <w:highlight w:val="none"/>
              </w:rPr>
            </w:pPr>
            <w:r>
              <w:rPr>
                <w:rFonts w:hint="eastAsia" w:ascii="黑体" w:hAnsi="黑体" w:eastAsia="黑体" w:cs="黑体"/>
                <w:color w:val="333333"/>
                <w:sz w:val="21"/>
                <w:szCs w:val="21"/>
                <w:highlight w:val="none"/>
              </w:rPr>
              <w:t>公开主体</w:t>
            </w:r>
          </w:p>
        </w:tc>
        <w:tc>
          <w:tcPr>
            <w:tcW w:w="2067"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sz w:val="21"/>
                <w:szCs w:val="21"/>
                <w:highlight w:val="none"/>
              </w:rPr>
            </w:pPr>
            <w:r>
              <w:rPr>
                <w:rFonts w:hint="eastAsia" w:ascii="黑体" w:hAnsi="黑体" w:eastAsia="黑体" w:cs="黑体"/>
                <w:color w:val="333333"/>
                <w:sz w:val="21"/>
                <w:szCs w:val="21"/>
                <w:highlight w:val="none"/>
              </w:rPr>
              <w:t>内容要求</w:t>
            </w:r>
          </w:p>
        </w:tc>
        <w:tc>
          <w:tcPr>
            <w:tcW w:w="1533" w:type="dxa"/>
            <w:shd w:val="clear" w:color="auto" w:fill="FFFFFF"/>
            <w:noWrap w:val="0"/>
            <w:vAlign w:val="center"/>
          </w:tcPr>
          <w:p>
            <w:pPr>
              <w:pStyle w:val="5"/>
              <w:spacing w:before="0" w:beforeAutospacing="0" w:after="0" w:afterAutospacing="0" w:line="320" w:lineRule="exact"/>
              <w:jc w:val="center"/>
              <w:rPr>
                <w:rFonts w:hint="eastAsia" w:ascii="黑体" w:hAnsi="黑体" w:eastAsia="黑体" w:cs="黑体"/>
                <w:sz w:val="21"/>
                <w:szCs w:val="21"/>
                <w:highlight w:val="none"/>
              </w:rPr>
            </w:pPr>
            <w:r>
              <w:rPr>
                <w:rFonts w:hint="eastAsia" w:ascii="黑体" w:hAnsi="黑体" w:eastAsia="黑体" w:cs="黑体"/>
                <w:color w:val="333333"/>
                <w:sz w:val="21"/>
                <w:szCs w:val="21"/>
                <w:highlight w:val="none"/>
              </w:rPr>
              <w:t>公开时限</w:t>
            </w:r>
          </w:p>
        </w:tc>
        <w:tc>
          <w:tcPr>
            <w:tcW w:w="1267" w:type="dxa"/>
            <w:shd w:val="clear" w:color="auto" w:fill="FFFFFF"/>
            <w:noWrap w:val="0"/>
            <w:vAlign w:val="center"/>
          </w:tcPr>
          <w:p>
            <w:pPr>
              <w:pStyle w:val="5"/>
              <w:widowControl/>
              <w:spacing w:before="0" w:beforeAutospacing="0" w:after="0" w:afterAutospacing="0" w:line="320" w:lineRule="exact"/>
              <w:ind w:firstLine="105" w:firstLineChars="50"/>
              <w:jc w:val="center"/>
              <w:rPr>
                <w:rFonts w:hint="eastAsia" w:ascii="黑体" w:hAnsi="黑体" w:eastAsia="黑体" w:cs="黑体"/>
                <w:sz w:val="21"/>
                <w:szCs w:val="21"/>
                <w:highlight w:val="none"/>
              </w:rPr>
            </w:pPr>
            <w:r>
              <w:rPr>
                <w:rFonts w:hint="eastAsia" w:ascii="黑体" w:hAnsi="黑体" w:eastAsia="黑体" w:cs="黑体"/>
                <w:color w:val="333333"/>
                <w:sz w:val="21"/>
                <w:szCs w:val="21"/>
                <w:highlight w:val="none"/>
              </w:rPr>
              <w:t>公开格式</w:t>
            </w:r>
          </w:p>
        </w:tc>
        <w:tc>
          <w:tcPr>
            <w:tcW w:w="1757" w:type="dxa"/>
            <w:shd w:val="clear" w:color="auto" w:fill="FFFFFF"/>
            <w:noWrap w:val="0"/>
            <w:vAlign w:val="center"/>
          </w:tcPr>
          <w:p>
            <w:pPr>
              <w:pStyle w:val="5"/>
              <w:widowControl/>
              <w:spacing w:before="0" w:beforeAutospacing="0" w:after="0" w:afterAutospacing="0" w:line="320" w:lineRule="exact"/>
              <w:ind w:firstLine="105" w:firstLineChars="50"/>
              <w:jc w:val="center"/>
              <w:rPr>
                <w:rFonts w:hint="eastAsia" w:ascii="黑体" w:hAnsi="黑体" w:eastAsia="黑体" w:cs="黑体"/>
                <w:sz w:val="21"/>
                <w:szCs w:val="21"/>
                <w:highlight w:val="none"/>
              </w:rPr>
            </w:pPr>
            <w:r>
              <w:rPr>
                <w:rFonts w:hint="eastAsia" w:ascii="黑体" w:hAnsi="黑体" w:eastAsia="黑体" w:cs="黑体"/>
                <w:color w:val="333333"/>
                <w:sz w:val="21"/>
                <w:szCs w:val="21"/>
                <w:highlight w:val="none"/>
              </w:rPr>
              <w:t>公开渠道</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color w:val="333333"/>
                <w:sz w:val="21"/>
                <w:szCs w:val="21"/>
                <w:highlight w:val="none"/>
              </w:rPr>
            </w:pPr>
            <w:r>
              <w:rPr>
                <w:rFonts w:hint="eastAsia" w:ascii="黑体" w:hAnsi="黑体" w:eastAsia="黑体" w:cs="黑体"/>
                <w:color w:val="333333"/>
                <w:sz w:val="21"/>
                <w:szCs w:val="21"/>
                <w:highlight w:val="none"/>
              </w:rPr>
              <w:t>咨询及监督</w:t>
            </w:r>
          </w:p>
          <w:p>
            <w:pPr>
              <w:pStyle w:val="5"/>
              <w:widowControl/>
              <w:spacing w:before="0" w:beforeAutospacing="0" w:after="0" w:afterAutospacing="0" w:line="320" w:lineRule="exact"/>
              <w:jc w:val="center"/>
              <w:rPr>
                <w:rFonts w:hint="eastAsia" w:ascii="黑体" w:hAnsi="黑体" w:eastAsia="黑体" w:cs="黑体"/>
                <w:color w:val="333333"/>
                <w:sz w:val="21"/>
                <w:szCs w:val="21"/>
                <w:highlight w:val="none"/>
              </w:rPr>
            </w:pPr>
            <w:r>
              <w:rPr>
                <w:rFonts w:hint="eastAsia" w:ascii="黑体" w:hAnsi="黑体" w:eastAsia="黑体" w:cs="黑体"/>
                <w:color w:val="333333"/>
                <w:sz w:val="21"/>
                <w:szCs w:val="21"/>
                <w:highlight w:val="none"/>
              </w:rPr>
              <w:t>举报电话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组织机构</w:t>
            </w:r>
          </w:p>
        </w:tc>
        <w:tc>
          <w:tcPr>
            <w:tcW w:w="1134"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ascii="仿宋_GB2312" w:hAnsi="仿宋_GB2312" w:cs="仿宋_GB2312"/>
                <w:sz w:val="21"/>
                <w:szCs w:val="21"/>
                <w:highlight w:val="none"/>
              </w:rPr>
              <w:t>机构概况</w:t>
            </w:r>
          </w:p>
        </w:tc>
        <w:tc>
          <w:tcPr>
            <w:tcW w:w="2410" w:type="dxa"/>
            <w:shd w:val="clear" w:color="auto" w:fill="FFFFFF"/>
            <w:noWrap w:val="0"/>
            <w:vAlign w:val="center"/>
          </w:tcPr>
          <w:p>
            <w:pPr>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ascii="仿宋_GB2312" w:hAnsi="仿宋_GB2312" w:cs="仿宋_GB2312"/>
                <w:sz w:val="21"/>
                <w:szCs w:val="21"/>
                <w:highlight w:val="none"/>
              </w:rPr>
              <w:t>机构名称、办公地址、办公电话、传真、通讯地 址、邮政编码等信息</w:t>
            </w:r>
          </w:p>
        </w:tc>
        <w:tc>
          <w:tcPr>
            <w:tcW w:w="1533" w:type="dxa"/>
            <w:shd w:val="clear" w:color="auto" w:fill="FFFFFF"/>
            <w:noWrap w:val="0"/>
            <w:vAlign w:val="center"/>
          </w:tcPr>
          <w:p>
            <w:pP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pacing w:before="0" w:beforeAutospacing="0" w:after="0" w:afterAutospacing="0" w:line="320" w:lineRule="exact"/>
              <w:ind w:firstLine="105" w:firstLineChars="50"/>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pacing w:before="0" w:beforeAutospacing="0" w:after="0" w:afterAutospacing="0" w:line="320" w:lineRule="exact"/>
              <w:ind w:firstLine="105" w:firstLineChars="50"/>
              <w:rPr>
                <w:rFonts w:hint="eastAsia" w:ascii="黑体" w:hAnsi="黑体" w:eastAsia="黑体" w:cs="黑体"/>
                <w:color w:val="333333"/>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color w:val="333333"/>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组织机构</w:t>
            </w:r>
          </w:p>
        </w:tc>
        <w:tc>
          <w:tcPr>
            <w:tcW w:w="1134"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ascii="仿宋_GB2312" w:hAnsi="仿宋_GB2312" w:cs="仿宋_GB2312"/>
                <w:sz w:val="21"/>
                <w:szCs w:val="21"/>
                <w:highlight w:val="none"/>
              </w:rPr>
              <w:t>机构职能</w:t>
            </w:r>
          </w:p>
        </w:tc>
        <w:tc>
          <w:tcPr>
            <w:tcW w:w="2410" w:type="dxa"/>
            <w:shd w:val="clear" w:color="auto" w:fill="FFFFFF"/>
            <w:noWrap w:val="0"/>
            <w:vAlign w:val="center"/>
          </w:tcPr>
          <w:p>
            <w:pPr>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依据“三定”方案及职责调整情况确定的本部门最新法定职能</w:t>
            </w:r>
          </w:p>
        </w:tc>
        <w:tc>
          <w:tcPr>
            <w:tcW w:w="1533" w:type="dxa"/>
            <w:shd w:val="clear" w:color="auto" w:fill="FFFFFF"/>
            <w:noWrap w:val="0"/>
            <w:vAlign w:val="center"/>
          </w:tcPr>
          <w:p>
            <w:pP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pacing w:before="0" w:beforeAutospacing="0" w:after="0" w:afterAutospacing="0" w:line="320" w:lineRule="exact"/>
              <w:ind w:firstLine="105" w:firstLineChars="50"/>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pacing w:before="0" w:beforeAutospacing="0" w:after="0" w:afterAutospacing="0" w:line="320" w:lineRule="exact"/>
              <w:ind w:firstLine="105" w:firstLineChars="50"/>
              <w:rPr>
                <w:rFonts w:hint="eastAsia" w:ascii="黑体" w:hAnsi="黑体" w:eastAsia="黑体" w:cs="黑体"/>
                <w:color w:val="333333"/>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color w:val="333333"/>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组织机构</w:t>
            </w:r>
          </w:p>
        </w:tc>
        <w:tc>
          <w:tcPr>
            <w:tcW w:w="1134"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ascii="仿宋_GB2312" w:hAnsi="仿宋_GB2312" w:cs="仿宋_GB2312"/>
                <w:sz w:val="21"/>
                <w:szCs w:val="21"/>
                <w:highlight w:val="none"/>
              </w:rPr>
              <w:t>领导信息</w:t>
            </w:r>
          </w:p>
        </w:tc>
        <w:tc>
          <w:tcPr>
            <w:tcW w:w="2410" w:type="dxa"/>
            <w:shd w:val="clear" w:color="auto" w:fill="FFFFFF"/>
            <w:noWrap w:val="0"/>
            <w:vAlign w:val="center"/>
          </w:tcPr>
          <w:p>
            <w:pPr>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姓名、照片、性别、民族、出生年月、籍贯、职务、工作分工、联系方式、学历、工作简历等信息</w:t>
            </w:r>
            <w:r>
              <w:rPr>
                <w:rFonts w:hint="eastAsia" w:ascii="仿宋_GB2312" w:hAnsi="仿宋_GB2312" w:cs="仿宋_GB2312"/>
                <w:sz w:val="21"/>
                <w:szCs w:val="21"/>
                <w:highlight w:val="none"/>
              </w:rPr>
              <w:cr/>
            </w:r>
          </w:p>
        </w:tc>
        <w:tc>
          <w:tcPr>
            <w:tcW w:w="1533" w:type="dxa"/>
            <w:shd w:val="clear" w:color="auto" w:fill="FFFFFF"/>
            <w:noWrap w:val="0"/>
            <w:vAlign w:val="center"/>
          </w:tcPr>
          <w:p>
            <w:pP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pacing w:before="0" w:beforeAutospacing="0" w:after="0" w:afterAutospacing="0" w:line="320" w:lineRule="exact"/>
              <w:ind w:firstLine="105" w:firstLineChars="50"/>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pacing w:before="0" w:beforeAutospacing="0" w:after="0" w:afterAutospacing="0" w:line="320" w:lineRule="exact"/>
              <w:ind w:firstLine="105" w:firstLineChars="50"/>
              <w:rPr>
                <w:rFonts w:hint="eastAsia" w:ascii="黑体" w:hAnsi="黑体" w:eastAsia="黑体" w:cs="黑体"/>
                <w:color w:val="333333"/>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color w:val="333333"/>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组织机构</w:t>
            </w:r>
          </w:p>
        </w:tc>
        <w:tc>
          <w:tcPr>
            <w:tcW w:w="1134"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ascii="仿宋_GB2312" w:hAnsi="仿宋_GB2312" w:cs="仿宋_GB2312"/>
                <w:sz w:val="21"/>
                <w:szCs w:val="21"/>
                <w:highlight w:val="none"/>
              </w:rPr>
              <w:t>内设机构</w:t>
            </w:r>
          </w:p>
        </w:tc>
        <w:tc>
          <w:tcPr>
            <w:tcW w:w="2410" w:type="dxa"/>
            <w:shd w:val="clear" w:color="auto" w:fill="FFFFFF"/>
            <w:noWrap w:val="0"/>
            <w:vAlign w:val="center"/>
          </w:tcPr>
          <w:p>
            <w:pPr>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内设机构及主要职责、机构负责人及联系方式</w:t>
            </w:r>
          </w:p>
        </w:tc>
        <w:tc>
          <w:tcPr>
            <w:tcW w:w="1533" w:type="dxa"/>
            <w:shd w:val="clear" w:color="auto" w:fill="FFFFFF"/>
            <w:noWrap w:val="0"/>
            <w:vAlign w:val="center"/>
          </w:tcPr>
          <w:p>
            <w:pP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pacing w:before="0" w:beforeAutospacing="0" w:after="0" w:afterAutospacing="0" w:line="320" w:lineRule="exact"/>
              <w:ind w:firstLine="105" w:firstLineChars="50"/>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pacing w:before="0" w:beforeAutospacing="0" w:after="0" w:afterAutospacing="0" w:line="320" w:lineRule="exact"/>
              <w:ind w:firstLine="105" w:firstLineChars="50"/>
              <w:rPr>
                <w:rFonts w:hint="eastAsia" w:ascii="黑体" w:hAnsi="黑体" w:eastAsia="黑体" w:cs="黑体"/>
                <w:color w:val="333333"/>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color w:val="333333"/>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组织机构</w:t>
            </w:r>
          </w:p>
        </w:tc>
        <w:tc>
          <w:tcPr>
            <w:tcW w:w="1134"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ascii="仿宋_GB2312" w:hAnsi="仿宋_GB2312" w:cs="仿宋_GB2312"/>
                <w:sz w:val="21"/>
                <w:szCs w:val="21"/>
                <w:highlight w:val="none"/>
              </w:rPr>
              <w:t>直属单位</w:t>
            </w:r>
          </w:p>
        </w:tc>
        <w:tc>
          <w:tcPr>
            <w:tcW w:w="2410" w:type="dxa"/>
            <w:shd w:val="clear" w:color="auto" w:fill="FFFFFF"/>
            <w:noWrap w:val="0"/>
            <w:vAlign w:val="center"/>
          </w:tcPr>
          <w:p>
            <w:pPr>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直属单位及主要职责、单位负责人及联系方式</w:t>
            </w:r>
          </w:p>
        </w:tc>
        <w:tc>
          <w:tcPr>
            <w:tcW w:w="1533" w:type="dxa"/>
            <w:shd w:val="clear" w:color="auto" w:fill="FFFFFF"/>
            <w:noWrap w:val="0"/>
            <w:vAlign w:val="center"/>
          </w:tcPr>
          <w:p>
            <w:pP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pacing w:before="0" w:beforeAutospacing="0" w:after="0" w:afterAutospacing="0" w:line="320" w:lineRule="exact"/>
              <w:ind w:firstLine="105" w:firstLineChars="50"/>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pacing w:before="0" w:beforeAutospacing="0" w:after="0" w:afterAutospacing="0" w:line="320" w:lineRule="exact"/>
              <w:ind w:firstLine="105" w:firstLineChars="50"/>
              <w:rPr>
                <w:rFonts w:hint="eastAsia" w:ascii="黑体" w:hAnsi="黑体" w:eastAsia="黑体" w:cs="黑体"/>
                <w:color w:val="333333"/>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黑体" w:hAnsi="黑体" w:eastAsia="黑体" w:cs="黑体"/>
                <w:color w:val="333333"/>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政府信息公开工作专题</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政府信息公开制度</w:t>
            </w:r>
          </w:p>
        </w:tc>
        <w:tc>
          <w:tcPr>
            <w:tcW w:w="2410" w:type="dxa"/>
            <w:shd w:val="clear" w:color="auto" w:fill="FFFFFF"/>
            <w:noWrap w:val="0"/>
            <w:vAlign w:val="top"/>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《中华人民共和国政府信息公开条例》《中共中央办公厅、国务院办公厅关于全面推进政务公开工作的意见》《国务院办公厅印发〈关于全面推进政务公开工作的意见〉实施细则</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的通知》</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ascii="仿宋_GB2312" w:hAnsi="仿宋_GB2312" w:cs="仿宋_GB2312"/>
                <w:sz w:val="21"/>
                <w:szCs w:val="21"/>
                <w:highlight w:val="none"/>
              </w:rPr>
              <w:t>政府信息公开规章制度、相关文件等信息</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政府信息公开指南</w:t>
            </w:r>
          </w:p>
        </w:tc>
        <w:tc>
          <w:tcPr>
            <w:tcW w:w="2410" w:type="dxa"/>
            <w:shd w:val="clear" w:color="auto" w:fill="FFFFFF"/>
            <w:noWrap w:val="0"/>
            <w:vAlign w:val="top"/>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《中华人民共和国政府信息公开条例》《中共中央办公厅、国务院办公厅关于全面推进政务公开工作的意见》《国务院办公厅印发〈关于全面推进政务公开工作的意见〉实施细则</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的通知》</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ascii="仿宋_GB2312" w:hAnsi="仿宋_GB2312" w:cs="仿宋_GB2312"/>
                <w:sz w:val="21"/>
                <w:szCs w:val="21"/>
                <w:highlight w:val="none"/>
              </w:rPr>
              <w:t>信息公开工作机构名称、办公时间、联系方式； 依申请信息公开受理有关事项、监督方式等信息</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政府信息公开目录</w:t>
            </w:r>
          </w:p>
        </w:tc>
        <w:tc>
          <w:tcPr>
            <w:tcW w:w="2410" w:type="dxa"/>
            <w:shd w:val="clear" w:color="auto" w:fill="FFFFFF"/>
            <w:noWrap w:val="0"/>
            <w:vAlign w:val="top"/>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《中华人民共和国政府信息公开条例》《中共中央办公厅、国务院办公厅关于全面推进政务公开工作的意见》《国务院办公厅印发〈关于全面推进政务公开工作的意见〉实施细则</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的通知》</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ascii="仿宋_GB2312" w:hAnsi="仿宋_GB2312" w:cs="仿宋_GB2312"/>
                <w:sz w:val="21"/>
                <w:szCs w:val="21"/>
                <w:highlight w:val="none"/>
              </w:rPr>
              <w:t>信息公开目录具体内容，包括公开依据、公开主 体、公开内容、公开时限、公开方式、监督渠道 等信息</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政府信息依申请公开</w:t>
            </w:r>
          </w:p>
        </w:tc>
        <w:tc>
          <w:tcPr>
            <w:tcW w:w="2410" w:type="dxa"/>
            <w:shd w:val="clear" w:color="auto" w:fill="FFFFFF"/>
            <w:noWrap w:val="0"/>
            <w:vAlign w:val="top"/>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《中华人民共和国政府信息公开条例》《中共中央办公厅、国务院办公厅关于全面推进政务公开工作的意见》《国务院办公厅印发〈关于全面推进政务公开工作的意见〉实施细则</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的通知》</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ascii="仿宋_GB2312" w:hAnsi="仿宋_GB2312" w:cs="仿宋_GB2312"/>
                <w:sz w:val="21"/>
                <w:szCs w:val="21"/>
                <w:highlight w:val="none"/>
              </w:rPr>
              <w:t>政府信息依申请公开服务指南、申请须知及申请 样表等信息</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政府信息公开年报</w:t>
            </w:r>
          </w:p>
        </w:tc>
        <w:tc>
          <w:tcPr>
            <w:tcW w:w="2410" w:type="dxa"/>
            <w:shd w:val="clear" w:color="auto" w:fill="FFFFFF"/>
            <w:noWrap w:val="0"/>
            <w:vAlign w:val="top"/>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《中华人民共和国政府信息公开条例》《中共中央办公厅、国务院办公厅关于全面推进政务公开工作的意见》《国务院办公厅印发〈关于全面推进政务公开工作的意见〉实施细则</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的通知》</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ascii="仿宋_GB2312" w:hAnsi="仿宋_GB2312" w:cs="仿宋_GB2312"/>
                <w:sz w:val="21"/>
                <w:szCs w:val="21"/>
                <w:highlight w:val="none"/>
              </w:rPr>
              <w:t>政府信息公开年度报告文本</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ascii="仿宋_GB2312" w:hAnsi="仿宋_GB2312" w:cs="仿宋_GB2312"/>
                <w:sz w:val="21"/>
                <w:szCs w:val="21"/>
                <w:highlight w:val="none"/>
              </w:rPr>
              <w:t>政策文件</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规范性文件</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《中华人民共和国政府信息公开条例》</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jc w:val="center"/>
              <w:rPr>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具有约束力的非立法性文件，包括文件名称、文号、备案登记号、正文、发布机构、发布时间</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政策文件</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部门文件</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《中华人民共和国政府信息公开条例》</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定义为主动公开属性的公文，包括文件名称、文号、正文、发布机构、发布时间</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政策文件</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建议提案答复</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《国务院办公厅关于做好全国人大 代表建议和全国政协委员提案办理 结果公开工作的通知》</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ascii="仿宋_GB2312" w:hAnsi="仿宋_GB2312" w:cs="仿宋_GB2312"/>
                <w:sz w:val="21"/>
                <w:szCs w:val="21"/>
                <w:highlight w:val="none"/>
              </w:rPr>
            </w:pPr>
            <w:r>
              <w:rPr>
                <w:rFonts w:ascii="仿宋_GB2312" w:hAnsi="仿宋_GB2312" w:cs="仿宋_GB2312"/>
                <w:sz w:val="21"/>
                <w:szCs w:val="21"/>
                <w:highlight w:val="none"/>
              </w:rPr>
              <w:t>承办的人大代表建议、政协委员提案复文（全文公开）</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信息产生或变更之日起20个工作日内公开</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重大决策预公开</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意见征集反馈</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《中华人民共和国政府信息公开条 例》《国务院办公厅印发〈关于全面 推进政务公开工作的意见〉实施细则 的通知》</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重大决策征求意见稿，意见收集采纳情况</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r>
              <w:rPr>
                <w:rFonts w:hint="eastAsia" w:ascii="仿宋_GB2312" w:hAnsi="仿宋_GB2312" w:eastAsia="仿宋_GB2312" w:cs="仿宋_GB2312"/>
                <w:kern w:val="0"/>
                <w:szCs w:val="21"/>
                <w:highlight w:val="none"/>
              </w:rPr>
              <w:cr/>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新闻发布</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新闻发布</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《中华人民共和国政府信息公开条例》《国务院办公厅印发〈关于全面</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推进政务公开工作的意见〉实施细则的通知》</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新闻发布制度，新闻发布年度计划，新闻发布实录信息</w:t>
            </w:r>
            <w:r>
              <w:rPr>
                <w:rFonts w:hint="eastAsia" w:ascii="仿宋_GB2312" w:hAnsi="仿宋_GB2312" w:cs="仿宋_GB2312"/>
                <w:sz w:val="21"/>
                <w:szCs w:val="21"/>
                <w:highlight w:val="none"/>
              </w:rPr>
              <w:cr/>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行政许可</w:t>
            </w:r>
          </w:p>
        </w:tc>
        <w:tc>
          <w:tcPr>
            <w:tcW w:w="1134" w:type="dxa"/>
            <w:shd w:val="clear" w:color="auto" w:fill="FFFFFF"/>
            <w:noWrap w:val="0"/>
            <w:vAlign w:val="center"/>
          </w:tcPr>
          <w:p>
            <w:pPr>
              <w:pStyle w:val="5"/>
              <w:widowControl/>
              <w:spacing w:before="0" w:beforeAutospacing="0" w:after="0" w:afterAutospacing="0" w:line="320" w:lineRule="exact"/>
              <w:jc w:val="both"/>
              <w:rPr>
                <w:rFonts w:ascii="仿宋_GB2312" w:hAnsi="仿宋_GB2312" w:cs="仿宋_GB2312"/>
                <w:sz w:val="21"/>
                <w:szCs w:val="21"/>
                <w:highlight w:val="none"/>
              </w:rPr>
            </w:pPr>
            <w:r>
              <w:rPr>
                <w:rFonts w:ascii="仿宋_GB2312" w:hAnsi="仿宋_GB2312" w:cs="仿宋_GB2312"/>
                <w:sz w:val="21"/>
                <w:szCs w:val="21"/>
                <w:highlight w:val="none"/>
              </w:rPr>
              <w:t>建设项目环境影响 评价文件审批</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《中华人民共和国环境影响评价法》《中华人民共和国海洋环境保护法》《中华人民共和国放射性污染防治法》《中华人民共和国政府信息公开条例》</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1.受理环节：受理情况公示、报告书（表）全本</w:t>
            </w:r>
          </w:p>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2.拟决定环节：拟审查环评文件基本情况公示</w:t>
            </w:r>
          </w:p>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3.决定环节：环评批复</w:t>
            </w:r>
            <w:r>
              <w:rPr>
                <w:rFonts w:hint="eastAsia" w:ascii="仿宋_GB2312" w:hAnsi="仿宋_GB2312" w:cs="仿宋_GB2312"/>
                <w:sz w:val="21"/>
                <w:szCs w:val="21"/>
                <w:highlight w:val="none"/>
              </w:rPr>
              <w:cr/>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r>
              <w:rPr>
                <w:rFonts w:hint="eastAsia" w:ascii="仿宋_GB2312" w:hAnsi="仿宋_GB2312" w:cs="仿宋_GB2312"/>
                <w:sz w:val="21"/>
                <w:szCs w:val="21"/>
                <w:highlight w:val="none"/>
              </w:rPr>
              <w:cr/>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行政许可</w:t>
            </w:r>
          </w:p>
        </w:tc>
        <w:tc>
          <w:tcPr>
            <w:tcW w:w="1134" w:type="dxa"/>
            <w:shd w:val="clear" w:color="auto" w:fill="FFFFFF"/>
            <w:noWrap w:val="0"/>
            <w:vAlign w:val="center"/>
          </w:tcPr>
          <w:p>
            <w:pPr>
              <w:pStyle w:val="5"/>
              <w:widowControl/>
              <w:spacing w:before="0" w:beforeAutospacing="0" w:after="0" w:afterAutospacing="0" w:line="320" w:lineRule="exact"/>
              <w:jc w:val="both"/>
              <w:rPr>
                <w:rFonts w:ascii="仿宋_GB2312" w:hAnsi="仿宋_GB2312" w:cs="仿宋_GB2312"/>
                <w:sz w:val="21"/>
                <w:szCs w:val="21"/>
                <w:highlight w:val="none"/>
              </w:rPr>
            </w:pPr>
            <w:r>
              <w:rPr>
                <w:rFonts w:ascii="仿宋_GB2312" w:hAnsi="仿宋_GB2312" w:cs="仿宋_GB2312"/>
                <w:sz w:val="21"/>
                <w:szCs w:val="21"/>
                <w:highlight w:val="none"/>
              </w:rPr>
              <w:t>防治污染设施拆除或闲置审批</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固体废物污染环境防治法》《中华人民共和国环境噪声污染防治法》《中华人民共和国海洋环境保护法》《中华人民共和国政府信息公开条例》《中共中央办公厅、国务院办公厅印发〈关于全面推进政务公开工作的意见〉》《国务院办公厅关于印发开展基层政务公开标准化规范化试点工作方案的通知》（国办发〔2017〕42 号）</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1.企业或单位关闭、闲置、拆除工业固体废物污染环境防治设施、场所的核准结果</w:t>
            </w:r>
          </w:p>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2.企业或单位拆除、闲置环境噪声污染防治设施的审批结果</w:t>
            </w:r>
          </w:p>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3.企业或单位拆除闲置海洋工程环境保护设施的审批结果</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r>
              <w:rPr>
                <w:rFonts w:hint="eastAsia" w:ascii="仿宋_GB2312" w:hAnsi="仿宋_GB2312" w:cs="仿宋_GB2312"/>
                <w:sz w:val="21"/>
                <w:szCs w:val="21"/>
                <w:highlight w:val="none"/>
              </w:rPr>
              <w:cr/>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行政许可</w:t>
            </w:r>
          </w:p>
        </w:tc>
        <w:tc>
          <w:tcPr>
            <w:tcW w:w="1134" w:type="dxa"/>
            <w:shd w:val="clear" w:color="auto" w:fill="FFFFFF"/>
            <w:noWrap w:val="0"/>
            <w:vAlign w:val="center"/>
          </w:tcPr>
          <w:p>
            <w:pPr>
              <w:pStyle w:val="5"/>
              <w:widowControl/>
              <w:spacing w:before="0" w:beforeAutospacing="0" w:after="0" w:afterAutospacing="0" w:line="320" w:lineRule="exact"/>
              <w:jc w:val="both"/>
              <w:rPr>
                <w:rFonts w:ascii="仿宋_GB2312" w:hAnsi="仿宋_GB2312" w:cs="仿宋_GB2312"/>
                <w:sz w:val="21"/>
                <w:szCs w:val="21"/>
                <w:highlight w:val="none"/>
              </w:rPr>
            </w:pPr>
            <w:r>
              <w:rPr>
                <w:rFonts w:ascii="仿宋_GB2312" w:hAnsi="仿宋_GB2312" w:cs="仿宋_GB2312"/>
                <w:sz w:val="21"/>
                <w:szCs w:val="21"/>
                <w:highlight w:val="none"/>
              </w:rPr>
              <w:t>危险废物经营许可证</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《中华人民共和国固体废物污染环境防治法》《中华人民共和国政府信息公开条例》《危险废物经营许可证管理办法》《国务院关于取消和下放一批行政审批项目的决定》（国发〔2013〕44 号）、《关于做好下放危险废物经营许可审批工作的通知》（环办函〔2014〕551 号）</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1.受理环节：受理通知书</w:t>
            </w:r>
          </w:p>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2.拟决定环节：向有关部门和专家征求意见、决定前公示等</w:t>
            </w:r>
          </w:p>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3.决定环节：危险废物经营许可证信息公示</w:t>
            </w:r>
          </w:p>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4.送达环节：送达单</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r>
              <w:rPr>
                <w:rFonts w:hint="eastAsia" w:ascii="仿宋_GB2312" w:hAnsi="仿宋_GB2312" w:cs="仿宋_GB2312"/>
                <w:sz w:val="21"/>
                <w:szCs w:val="21"/>
                <w:highlight w:val="none"/>
              </w:rPr>
              <w:cr/>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行政处罚、行政强制和行政命令</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行政处罚</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《中华人民共和国环境保护法》《中华人民共和国水污染防治法》《中华人民共和国海洋环境保护法》《中华人民共和国大气污染防治法》《中华人民共和国环境噪声污染防治法》</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ascii="仿宋_GB2312" w:hAnsi="仿宋_GB2312" w:cs="仿宋_GB2312"/>
                <w:sz w:val="21"/>
                <w:szCs w:val="21"/>
                <w:highlight w:val="none"/>
              </w:rPr>
            </w:pPr>
            <w:r>
              <w:rPr>
                <w:rFonts w:ascii="仿宋_GB2312" w:hAnsi="仿宋_GB2312" w:cs="仿宋_GB2312"/>
                <w:sz w:val="21"/>
                <w:szCs w:val="21"/>
                <w:highlight w:val="none"/>
              </w:rPr>
              <w:t>行政处罚决定书（全文公开）</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r>
              <w:rPr>
                <w:rFonts w:hint="eastAsia" w:ascii="仿宋_GB2312" w:hAnsi="仿宋_GB2312" w:cs="仿宋_GB2312"/>
                <w:sz w:val="21"/>
                <w:szCs w:val="21"/>
                <w:highlight w:val="none"/>
              </w:rPr>
              <w:cr/>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hint="eastAsia" w:ascii="仿宋_GB2312" w:hAnsi="仿宋_GB2312" w:cs="仿宋_GB2312"/>
                <w:sz w:val="21"/>
                <w:szCs w:val="21"/>
                <w:highlight w:val="none"/>
              </w:rPr>
              <w:t>行政管理</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rPr>
              <w:t>行政奖励</w:t>
            </w:r>
          </w:p>
        </w:tc>
        <w:tc>
          <w:tcPr>
            <w:tcW w:w="2410" w:type="dxa"/>
            <w:shd w:val="clear" w:color="auto" w:fill="FFFFFF"/>
            <w:noWrap w:val="0"/>
            <w:vAlign w:val="top"/>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环境保护法》《中华人民共和国水污染防治法》《中华人民共和国海洋环境保护法》《中华人民共和国大气污染防治法》《中华人民共和国环境噪声污染防治法》《中华人民共和国土壤污染防治法》《中华人民共和国固体废物污染环境防治法》《中华人民共和国放射性污染防治法》《中华人民共和国核安全法》《中华人民共和国环境影响评价法》《中华人民共和国政府信息公</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开条例》</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1.奖励办法</w:t>
            </w:r>
          </w:p>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2.奖励公告</w:t>
            </w:r>
          </w:p>
          <w:p>
            <w:pPr>
              <w:pStyle w:val="5"/>
              <w:widowControl/>
              <w:spacing w:before="0" w:beforeAutospacing="0" w:after="0" w:afterAutospacing="0"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3.奖励决定</w:t>
            </w:r>
            <w:r>
              <w:rPr>
                <w:rFonts w:hint="eastAsia" w:ascii="仿宋_GB2312" w:hAnsi="仿宋_GB2312" w:cs="仿宋_GB2312"/>
                <w:sz w:val="21"/>
                <w:szCs w:val="21"/>
                <w:highlight w:val="none"/>
              </w:rPr>
              <w:cr/>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r>
              <w:rPr>
                <w:rFonts w:hint="eastAsia" w:ascii="仿宋_GB2312" w:hAnsi="仿宋_GB2312" w:cs="仿宋_GB2312"/>
                <w:sz w:val="21"/>
                <w:szCs w:val="21"/>
                <w:highlight w:val="none"/>
              </w:rPr>
              <w:cr/>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hint="eastAsia" w:ascii="仿宋_GB2312" w:hAnsi="仿宋_GB2312" w:cs="仿宋_GB2312"/>
                <w:sz w:val="21"/>
                <w:szCs w:val="21"/>
                <w:highlight w:val="none"/>
              </w:rPr>
              <w:t>行政管理</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lang w:eastAsia="zh-CN"/>
              </w:rPr>
              <w:t>监督</w:t>
            </w:r>
            <w:r>
              <w:rPr>
                <w:rFonts w:ascii="仿宋_GB2312" w:hAnsi="仿宋_GB2312" w:cs="仿宋_GB2312"/>
                <w:sz w:val="21"/>
                <w:szCs w:val="21"/>
                <w:highlight w:val="none"/>
              </w:rPr>
              <w:t>检查</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《中华人民共和国政府信息公开条例》《中共中央办公厅、国务院办公厅印发〈关于全面推进政务公开工作的意见〉》</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1.运行环节：制定方案、实施检查、事后监管</w:t>
            </w:r>
          </w:p>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2.责任事项</w:t>
            </w:r>
          </w:p>
          <w:p>
            <w:pPr>
              <w:pStyle w:val="5"/>
              <w:widowControl/>
              <w:spacing w:before="0" w:beforeAutospacing="0" w:after="0" w:afterAutospacing="0"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lang w:val="en-US" w:eastAsia="zh-CN"/>
              </w:rPr>
              <w:t>3.双随机一公开情况</w:t>
            </w:r>
            <w:r>
              <w:rPr>
                <w:rFonts w:hint="eastAsia" w:ascii="仿宋_GB2312" w:hAnsi="仿宋_GB2312" w:cs="仿宋_GB2312"/>
                <w:sz w:val="21"/>
                <w:szCs w:val="21"/>
                <w:highlight w:val="none"/>
              </w:rPr>
              <w:cr/>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重大建设项目环境管理</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《中华人民共和国政府信息公开条 例》《中共中央办公厅、国务院办公 厅印发〈关于全面推进政务公开工作 的意见〉》《国务院办公厅关于印发 开展基层政务公开标准化规范化试 点工作方案的通知》（国办发〔2017〕 42 号）</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1.重大建设项目生态环境行政许可情况</w:t>
            </w:r>
          </w:p>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2.重大建设项目落实生态环境要求情况</w:t>
            </w:r>
          </w:p>
          <w:p>
            <w:pPr>
              <w:pStyle w:val="5"/>
              <w:widowControl/>
              <w:spacing w:before="0" w:beforeAutospacing="0" w:after="0" w:afterAutospacing="0"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3.重大建设项目生态环境监督管理情况</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rPr>
              <w:t>生态环境保护督察</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中共中央办公厅、国务院办公厅印发〈关于全面推进政务公开工作的意见〉》《国务院办公厅关于印发开展基层政务公开标准化规范化试点工作方案的通知》（国办发〔2017〕42 号）、《中央生态环境保护督察工</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作规定》</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按要求公开生态环境保护督察进驻时限，受理投诉、举报途径，督察反馈问题，受理投诉、举报查处情况，反馈问题整改情况</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rPr>
              <w:t>生态建设</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中共中央办公厅、国务院办公厅印发〈关于全面推进政务公开工作的意见〉》《国务院办公厅关于印发开展基层政务公开标准化规范化试点工作方案的通知》（国办发〔2017〕42 号）</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rPr>
              <w:t>1.生态文明建设示范区和“绿水青山就是金山银山”实践创新基地创建情况</w:t>
            </w:r>
            <w:r>
              <w:rPr>
                <w:rFonts w:hint="eastAsia" w:ascii="仿宋_GB2312" w:hAnsi="仿宋_GB2312" w:eastAsia="仿宋_GB2312" w:cs="仿宋_GB2312"/>
                <w:kern w:val="0"/>
                <w:szCs w:val="21"/>
                <w:highlight w:val="none"/>
                <w:lang w:eastAsia="zh-CN"/>
              </w:rPr>
              <w:t>等</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lang w:val="en-US" w:eastAsia="zh-CN"/>
              </w:rPr>
              <w:t>2</w:t>
            </w:r>
            <w:r>
              <w:rPr>
                <w:rFonts w:hint="eastAsia" w:ascii="仿宋_GB2312" w:hAnsi="仿宋_GB2312" w:eastAsia="仿宋_GB2312" w:cs="仿宋_GB2312"/>
                <w:kern w:val="0"/>
                <w:szCs w:val="21"/>
                <w:highlight w:val="none"/>
              </w:rPr>
              <w:t>.各类自然保护地生态环境监管执法信息</w:t>
            </w:r>
          </w:p>
          <w:p>
            <w:pP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lang w:val="en-US" w:eastAsia="zh-CN"/>
              </w:rPr>
              <w:t>3</w:t>
            </w:r>
            <w:r>
              <w:rPr>
                <w:rFonts w:hint="eastAsia" w:ascii="仿宋_GB2312" w:hAnsi="仿宋_GB2312" w:eastAsia="仿宋_GB2312" w:cs="仿宋_GB2312"/>
                <w:kern w:val="0"/>
                <w:szCs w:val="21"/>
                <w:highlight w:val="none"/>
              </w:rPr>
              <w:t>.生物多样性保护、生物物种资源保护相关信息</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企业事业单位突发环境事件应急预案备案</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《中华人民共和国环境保护法》《中华人民共和国突发事件应对法》《中华人民共和国政府信息公开条例》《企业事业单位突发环境事件应急预案备案管理办法（试行）》（环发〔2015〕4 号）</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企业事业单位突发环境事件应急预案备案情况</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社区/企事业单位/村公示栏</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rPr>
              <w:t>生态环境主题活动组织情况</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《中华人民共和国环境保护法》《中华人民共和国政府信息公开条例》</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0052"/>
            </w: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1.环保公众开放活动通知、活动开展情况</w:t>
            </w:r>
          </w:p>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2.参观环境宣传教育基地活动开展情况</w:t>
            </w:r>
          </w:p>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3.在公共场所开展环境保护宣传教育活动通知、活动开展情况</w:t>
            </w:r>
          </w:p>
          <w:p>
            <w:pPr>
              <w:pStyle w:val="5"/>
              <w:widowControl/>
              <w:spacing w:before="0" w:beforeAutospacing="0" w:after="0" w:afterAutospacing="0"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4.“六·五”环境日、全国低碳日等主题宣传活动通知、活动开展情况</w:t>
            </w:r>
          </w:p>
          <w:p>
            <w:pPr>
              <w:pStyle w:val="5"/>
              <w:widowControl/>
              <w:spacing w:before="0" w:beforeAutospacing="0" w:after="0" w:afterAutospacing="0"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5.开展生态、环保类教育培训活动通知、活动开展情况</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信息形成或者变更之日起20个工作日</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生态环境污染举报 咨询</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ascii="仿宋_GB2312" w:hAnsi="仿宋_GB2312" w:eastAsia="仿宋_GB2312" w:cs="仿宋_GB2312"/>
                <w:kern w:val="0"/>
                <w:szCs w:val="21"/>
                <w:highlight w:val="none"/>
              </w:rPr>
              <w:t>《中华人民共和国环境保护法》《中华人民共和国政府信息公开条例》《环境信访办法》</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生态环境举报、咨询方式（电话、地址等）</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自该信息形成或者变更之日起 20 个工作日内</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rPr>
              <w:t>生态环境举报信访信息</w:t>
            </w:r>
            <w:r>
              <w:rPr>
                <w:rFonts w:hint="eastAsia" w:ascii="仿宋_GB2312" w:hAnsi="仿宋_GB2312" w:cs="仿宋_GB2312"/>
                <w:sz w:val="21"/>
                <w:szCs w:val="21"/>
                <w:highlight w:val="none"/>
              </w:rPr>
              <w:cr/>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《中华人民共和国环境保护法》《中华人民共和国政府信息公开条例》</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公开重点生态环境举报、信访案件及处理情况</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自该信息形成或者变更之日起 20 个工作日内</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rPr>
              <w:t>污染源监督监测</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《中华人民共和国政府信息公开条例》《国家重点监控企业污染源监督性监测及信息公开办法》（环发〔2013〕81 号）、《国家生态环境监测方案》、每年印发的全国生态环境</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监测工作要点</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重点排污单位监督性监测信息</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自该信息形成或者变更之日起 20 个工作日内</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rPr>
              <w:t>污染源信息</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《中华人民共和国环境保护法》《中华人民共和国政府信息公开条例》</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重点排污单位基本情况、总量控制、污染防治等信息，重点排污单位环境信息公开情况监管信息</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自该信息形成或者变更之日起 20 个工作日内</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rPr>
              <w:t>生态环境质量信息</w:t>
            </w:r>
          </w:p>
        </w:tc>
        <w:tc>
          <w:tcPr>
            <w:tcW w:w="2410" w:type="dxa"/>
            <w:shd w:val="clear" w:color="auto" w:fill="FFFFFF"/>
            <w:noWrap w:val="0"/>
            <w:vAlign w:val="top"/>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《中华人民共和国环境保护法》《中华人民共和国政府信息公开条例》</w:t>
            </w:r>
          </w:p>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《国务院关于印发水污染防治行动计划的通知》（国发〔2015〕17 号）</w:t>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水环境质量信息（地表水监测结果和集中式生活饮用水水源水质状况报告）；实时空气质量指数（AQI）和 PM2.5浓度；声环境功能区监测结果（包括声环境功能区类别、监测点位、执行标准、监</w:t>
            </w:r>
          </w:p>
          <w:p>
            <w:pPr>
              <w:rPr>
                <w:highlight w:val="none"/>
              </w:rPr>
            </w:pPr>
            <w:r>
              <w:rPr>
                <w:rFonts w:hint="eastAsia" w:ascii="仿宋_GB2312" w:hAnsi="仿宋_GB2312" w:eastAsia="仿宋_GB2312" w:cs="仿宋_GB2312"/>
                <w:kern w:val="0"/>
                <w:szCs w:val="21"/>
                <w:highlight w:val="none"/>
              </w:rPr>
              <w:t>测结果）；其他环境质量信息</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自该信息形成或者变更之日起 20 个工作日内</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rPr>
              <w:t>生态环境统计报告</w:t>
            </w:r>
          </w:p>
        </w:tc>
        <w:tc>
          <w:tcPr>
            <w:tcW w:w="2410" w:type="dxa"/>
            <w:shd w:val="clear" w:color="auto" w:fill="FFFFFF"/>
            <w:noWrap w:val="0"/>
            <w:vAlign w:val="top"/>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中共中央办公厅、国务院办公厅印发〈关于全面推进政务公开工作的意见〉》《国务院办公厅关于印发开展基层政务公开标准化规范化试点工作方案的通知》（国办发〔2017〕42 号）</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before="0" w:beforeAutospacing="0" w:after="0" w:afterAutospacing="0"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环境统计年度报告</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自该信息形成或者变更之日起 20 个工作日内</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both"/>
              <w:rPr>
                <w:rFonts w:ascii="仿宋_GB2312" w:hAnsi="仿宋_GB2312" w:cs="仿宋_GB2312"/>
                <w:sz w:val="21"/>
                <w:szCs w:val="21"/>
                <w:highlight w:val="none"/>
              </w:rPr>
            </w:pPr>
            <w:r>
              <w:rPr>
                <w:rFonts w:hint="eastAsia" w:ascii="仿宋_GB2312" w:hAnsi="仿宋_GB2312" w:cs="仿宋_GB2312"/>
                <w:sz w:val="21"/>
                <w:szCs w:val="21"/>
                <w:highlight w:val="none"/>
              </w:rPr>
              <w:t>人事管理</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r>
              <w:rPr>
                <w:rFonts w:hint="eastAsia" w:ascii="仿宋_GB2312" w:hAnsi="仿宋_GB2312" w:eastAsia="仿宋_GB2312" w:cs="仿宋_GB2312"/>
                <w:kern w:val="0"/>
                <w:szCs w:val="21"/>
                <w:highlight w:val="none"/>
              </w:rPr>
              <w:cr/>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干部管理制度、干部任免、招考选调，以及干部培训有关文件等信息</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自该信息形成或者变更之日起 20 个工作日内</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hint="eastAsia" w:ascii="仿宋_GB2312" w:hAnsi="仿宋_GB2312" w:cs="仿宋_GB2312"/>
                <w:sz w:val="21"/>
                <w:szCs w:val="21"/>
                <w:highlight w:val="none"/>
              </w:rPr>
              <w:t>财政资金管理</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ascii="仿宋_GB2312" w:hAnsi="仿宋_GB2312" w:cs="仿宋_GB2312"/>
                <w:sz w:val="21"/>
                <w:szCs w:val="21"/>
                <w:highlight w:val="none"/>
              </w:rPr>
            </w:pPr>
            <w:r>
              <w:rPr>
                <w:rFonts w:hint="eastAsia" w:ascii="仿宋_GB2312" w:hAnsi="仿宋_GB2312" w:cs="仿宋_GB2312"/>
                <w:sz w:val="21"/>
                <w:szCs w:val="21"/>
                <w:highlight w:val="none"/>
              </w:rPr>
              <w:t>各类环保资金管理办法、各地需纳入项目储备库或报省级主管部门备案的项目</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自该信息形成或者变更之日起 20 个工作日内</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1093" w:type="dxa"/>
            <w:shd w:val="clear" w:color="auto" w:fill="FFFFFF"/>
            <w:noWrap w:val="0"/>
            <w:vAlign w:val="center"/>
          </w:tcPr>
          <w:p>
            <w:pPr>
              <w:pStyle w:val="5"/>
              <w:widowControl/>
              <w:spacing w:before="0" w:beforeAutospacing="0" w:after="0" w:afterAutospacing="0" w:line="320" w:lineRule="exact"/>
              <w:jc w:val="center"/>
              <w:rPr>
                <w:rFonts w:ascii="仿宋_GB2312" w:hAnsi="仿宋_GB2312" w:cs="仿宋_GB2312"/>
                <w:sz w:val="21"/>
                <w:szCs w:val="21"/>
                <w:highlight w:val="none"/>
              </w:rPr>
            </w:pPr>
            <w:r>
              <w:rPr>
                <w:rFonts w:ascii="仿宋_GB2312" w:hAnsi="仿宋_GB2312" w:cs="仿宋_GB2312"/>
                <w:sz w:val="21"/>
                <w:szCs w:val="21"/>
                <w:highlight w:val="none"/>
              </w:rPr>
              <w:t>其他行政职责</w:t>
            </w:r>
          </w:p>
        </w:tc>
        <w:tc>
          <w:tcPr>
            <w:tcW w:w="1134"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部门预决算</w:t>
            </w:r>
          </w:p>
        </w:tc>
        <w:tc>
          <w:tcPr>
            <w:tcW w:w="2410"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《中华人民共和国政府信息公开条例》</w:t>
            </w:r>
            <w:r>
              <w:rPr>
                <w:rFonts w:hint="eastAsia" w:ascii="仿宋_GB2312" w:hAnsi="仿宋_GB2312" w:eastAsia="仿宋_GB2312" w:cs="仿宋_GB2312"/>
                <w:kern w:val="0"/>
                <w:szCs w:val="21"/>
                <w:highlight w:val="none"/>
              </w:rPr>
              <w:cr/>
            </w:r>
          </w:p>
        </w:tc>
        <w:tc>
          <w:tcPr>
            <w:tcW w:w="992" w:type="dxa"/>
            <w:shd w:val="clear" w:color="auto" w:fill="FFFFFF"/>
            <w:noWrap w:val="0"/>
            <w:vAlign w:val="center"/>
          </w:tcPr>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□决策</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□执行</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sym w:font="Wingdings 2" w:char="F052"/>
            </w:r>
            <w:r>
              <w:rPr>
                <w:rFonts w:hint="eastAsia" w:ascii="仿宋_GB2312" w:hAnsi="仿宋_GB2312" w:eastAsia="仿宋_GB2312" w:cs="仿宋_GB2312"/>
                <w:kern w:val="0"/>
                <w:szCs w:val="21"/>
                <w:highlight w:val="none"/>
              </w:rPr>
              <w:t>管理</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□服务</w:t>
            </w:r>
          </w:p>
          <w:p>
            <w:pPr>
              <w:widowControl/>
              <w:snapToGrid w:val="0"/>
              <w:spacing w:line="320" w:lineRule="exact"/>
              <w:ind w:firstLine="105" w:firstLineChars="50"/>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□结果</w:t>
            </w:r>
          </w:p>
        </w:tc>
        <w:tc>
          <w:tcPr>
            <w:tcW w:w="1134" w:type="dxa"/>
            <w:shd w:val="clear" w:color="auto" w:fill="FFFFFF"/>
            <w:noWrap w:val="0"/>
            <w:vAlign w:val="center"/>
          </w:tcPr>
          <w:p>
            <w:pPr>
              <w:widowControl/>
              <w:snapToGrid w:val="0"/>
              <w:spacing w:line="320" w:lineRule="exact"/>
              <w:ind w:firstLine="105" w:firstLineChars="50"/>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市级生态环境部门</w:t>
            </w:r>
          </w:p>
        </w:tc>
        <w:tc>
          <w:tcPr>
            <w:tcW w:w="2067" w:type="dxa"/>
            <w:shd w:val="clear" w:color="auto" w:fill="FFFFFF"/>
            <w:noWrap w:val="0"/>
            <w:vAlign w:val="center"/>
          </w:tcPr>
          <w:p>
            <w:pPr>
              <w:pStyle w:val="5"/>
              <w:widowControl/>
              <w:spacing w:line="320" w:lineRule="exact"/>
              <w:rPr>
                <w:rFonts w:hint="eastAsia" w:ascii="仿宋_GB2312" w:hAnsi="仿宋_GB2312" w:cs="仿宋_GB2312"/>
                <w:sz w:val="21"/>
                <w:szCs w:val="21"/>
                <w:highlight w:val="none"/>
              </w:rPr>
            </w:pPr>
            <w:r>
              <w:rPr>
                <w:rFonts w:hint="eastAsia" w:ascii="仿宋_GB2312" w:hAnsi="仿宋_GB2312" w:cs="仿宋_GB2312"/>
                <w:sz w:val="21"/>
                <w:szCs w:val="21"/>
                <w:highlight w:val="none"/>
              </w:rPr>
              <w:t>经财政部门审定后的年度部门预算、经财政部门审核后的年度决算信息</w:t>
            </w:r>
          </w:p>
        </w:tc>
        <w:tc>
          <w:tcPr>
            <w:tcW w:w="1533" w:type="dxa"/>
            <w:shd w:val="clear" w:color="auto" w:fill="FFFFFF"/>
            <w:noWrap w:val="0"/>
            <w:vAlign w:val="center"/>
          </w:tcPr>
          <w:p>
            <w:pP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自该信息形成或者变更之日起 20 个工作日内</w:t>
            </w:r>
          </w:p>
        </w:tc>
        <w:tc>
          <w:tcPr>
            <w:tcW w:w="1267" w:type="dxa"/>
            <w:shd w:val="clear" w:color="auto" w:fill="FFFFFF"/>
            <w:noWrap w:val="0"/>
            <w:vAlign w:val="center"/>
          </w:tcPr>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文本</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□图表</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□音频</w:t>
            </w:r>
          </w:p>
          <w:p>
            <w:pPr>
              <w:pStyle w:val="5"/>
              <w:widowControl/>
              <w:snapToGrid w:val="0"/>
              <w:spacing w:before="0" w:beforeAutospacing="0" w:after="0" w:afterAutospacing="0" w:line="32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□视频</w:t>
            </w:r>
          </w:p>
        </w:tc>
        <w:tc>
          <w:tcPr>
            <w:tcW w:w="1757" w:type="dxa"/>
            <w:shd w:val="clear" w:color="auto" w:fill="FFFFFF"/>
            <w:noWrap w:val="0"/>
            <w:vAlign w:val="center"/>
          </w:tcPr>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sym w:font="Wingdings" w:char="00FE"/>
            </w:r>
            <w:r>
              <w:rPr>
                <w:rFonts w:hint="eastAsia" w:ascii="仿宋_GB2312" w:hAnsi="仿宋_GB2312" w:cs="仿宋_GB2312"/>
                <w:sz w:val="21"/>
                <w:szCs w:val="21"/>
                <w:highlight w:val="none"/>
              </w:rPr>
              <w:t>政府网站</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□新闻发布会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□政策吹风会</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□政务新媒体</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□广播</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□电视</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□报纸</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□信息公告栏</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□政务服务中心</w:t>
            </w:r>
          </w:p>
          <w:p>
            <w:pPr>
              <w:pStyle w:val="5"/>
              <w:widowControl/>
              <w:snapToGrid w:val="0"/>
              <w:spacing w:before="0" w:beforeAutospacing="0" w:after="0" w:afterAutospacing="0" w:line="260" w:lineRule="exact"/>
              <w:ind w:firstLine="105" w:firstLineChars="50"/>
              <w:jc w:val="both"/>
              <w:rPr>
                <w:rFonts w:hint="eastAsia" w:ascii="仿宋_GB2312" w:hAnsi="仿宋_GB2312" w:cs="仿宋_GB2312"/>
                <w:sz w:val="21"/>
                <w:szCs w:val="21"/>
                <w:highlight w:val="none"/>
              </w:rPr>
            </w:pPr>
            <w:r>
              <w:rPr>
                <w:rFonts w:hint="eastAsia" w:ascii="仿宋_GB2312" w:hAnsi="仿宋_GB2312" w:cs="仿宋_GB2312"/>
                <w:sz w:val="21"/>
                <w:szCs w:val="21"/>
                <w:highlight w:val="none"/>
              </w:rPr>
              <w:t>□其他</w:t>
            </w:r>
          </w:p>
        </w:tc>
        <w:tc>
          <w:tcPr>
            <w:tcW w:w="1623" w:type="dxa"/>
            <w:shd w:val="clear" w:color="auto" w:fill="FFFFFF"/>
            <w:noWrap w:val="0"/>
            <w:vAlign w:val="center"/>
          </w:tcPr>
          <w:p>
            <w:pPr>
              <w:pStyle w:val="5"/>
              <w:widowControl/>
              <w:spacing w:before="0" w:beforeAutospacing="0" w:after="0" w:afterAutospacing="0" w:line="320" w:lineRule="exact"/>
              <w:jc w:val="center"/>
              <w:rPr>
                <w:rFonts w:hint="eastAsia" w:ascii="仿宋_GB2312" w:hAnsi="仿宋_GB2312" w:cs="仿宋_GB2312"/>
                <w:sz w:val="21"/>
                <w:szCs w:val="21"/>
                <w:highlight w:val="none"/>
              </w:rPr>
            </w:pPr>
            <w:r>
              <w:rPr>
                <w:rFonts w:hint="eastAsia" w:ascii="仿宋_GB2312" w:hAnsi="仿宋_GB2312" w:cs="仿宋_GB2312"/>
                <w:sz w:val="21"/>
                <w:szCs w:val="21"/>
                <w:highlight w:val="none"/>
              </w:rPr>
              <w:t>0578-2098915</w:t>
            </w:r>
          </w:p>
        </w:tc>
      </w:tr>
      <w:bookmarkEnd w:id="0"/>
    </w:tbl>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1FD"/>
    <w:rsid w:val="0000364E"/>
    <w:rsid w:val="00032EAD"/>
    <w:rsid w:val="00073261"/>
    <w:rsid w:val="00163E32"/>
    <w:rsid w:val="00167938"/>
    <w:rsid w:val="00291E0D"/>
    <w:rsid w:val="00300BAF"/>
    <w:rsid w:val="0044771A"/>
    <w:rsid w:val="00540206"/>
    <w:rsid w:val="0057331F"/>
    <w:rsid w:val="005A119C"/>
    <w:rsid w:val="005B201B"/>
    <w:rsid w:val="00632E1C"/>
    <w:rsid w:val="007247D6"/>
    <w:rsid w:val="007B4036"/>
    <w:rsid w:val="00813250"/>
    <w:rsid w:val="008761FD"/>
    <w:rsid w:val="00973070"/>
    <w:rsid w:val="00982E27"/>
    <w:rsid w:val="00A15E1A"/>
    <w:rsid w:val="00A223AC"/>
    <w:rsid w:val="00A62D9B"/>
    <w:rsid w:val="00B508DC"/>
    <w:rsid w:val="00C217BC"/>
    <w:rsid w:val="00C324AE"/>
    <w:rsid w:val="00D17F5B"/>
    <w:rsid w:val="00D3698F"/>
    <w:rsid w:val="00D622E1"/>
    <w:rsid w:val="00D93C90"/>
    <w:rsid w:val="00DE56DE"/>
    <w:rsid w:val="00F67514"/>
    <w:rsid w:val="01AB0515"/>
    <w:rsid w:val="085772CE"/>
    <w:rsid w:val="0B8D3656"/>
    <w:rsid w:val="130B0848"/>
    <w:rsid w:val="15AD73D9"/>
    <w:rsid w:val="175C3F2B"/>
    <w:rsid w:val="19CD319A"/>
    <w:rsid w:val="1BF44F8B"/>
    <w:rsid w:val="1CDB2FD7"/>
    <w:rsid w:val="2057328F"/>
    <w:rsid w:val="21A53F27"/>
    <w:rsid w:val="2ACD4359"/>
    <w:rsid w:val="2FB377AB"/>
    <w:rsid w:val="301B5479"/>
    <w:rsid w:val="350A6984"/>
    <w:rsid w:val="3FAC7B34"/>
    <w:rsid w:val="44F510EE"/>
    <w:rsid w:val="46B644A9"/>
    <w:rsid w:val="4BEA6BB8"/>
    <w:rsid w:val="5222617B"/>
    <w:rsid w:val="52EF77B3"/>
    <w:rsid w:val="558D7960"/>
    <w:rsid w:val="56B034F6"/>
    <w:rsid w:val="56BE5BB1"/>
    <w:rsid w:val="5BAC6E70"/>
    <w:rsid w:val="610C2FEF"/>
    <w:rsid w:val="63D1266E"/>
    <w:rsid w:val="64F10F4B"/>
    <w:rsid w:val="6500277B"/>
    <w:rsid w:val="659061A2"/>
    <w:rsid w:val="66C300C7"/>
    <w:rsid w:val="682B7D8A"/>
    <w:rsid w:val="6D90786C"/>
    <w:rsid w:val="6FCC6AB2"/>
    <w:rsid w:val="710F56F7"/>
    <w:rsid w:val="73AD09D7"/>
    <w:rsid w:val="758D011E"/>
    <w:rsid w:val="760A2D37"/>
    <w:rsid w:val="7C524E7A"/>
    <w:rsid w:val="7D8A1B3F"/>
    <w:rsid w:val="7F3D7BF7"/>
    <w:rsid w:val="7F3F205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annotation text"/>
    <w:basedOn w:val="1"/>
    <w:qFormat/>
    <w:uiPriority w:val="99"/>
    <w:pPr>
      <w:jc w:val="left"/>
    </w:p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ascii="Times New Roman" w:hAnsi="Times New Roman" w:eastAsia="仿宋_GB2312"/>
      <w:kern w:val="0"/>
      <w:sz w:val="24"/>
      <w:szCs w:val="24"/>
    </w:rPr>
  </w:style>
  <w:style w:type="character" w:customStyle="1" w:styleId="8">
    <w:name w:val="页眉 Char"/>
    <w:basedOn w:val="7"/>
    <w:link w:val="4"/>
    <w:uiPriority w:val="0"/>
    <w:rPr>
      <w:rFonts w:ascii="Calibri" w:hAnsi="Calibri"/>
      <w:kern w:val="2"/>
      <w:sz w:val="18"/>
      <w:szCs w:val="18"/>
    </w:rPr>
  </w:style>
  <w:style w:type="character" w:customStyle="1" w:styleId="9">
    <w:name w:val="页脚 Char"/>
    <w:basedOn w:val="7"/>
    <w:link w:val="3"/>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lscz.Com</Company>
  <Pages>19</Pages>
  <Words>1683</Words>
  <Characters>9598</Characters>
  <Lines>79</Lines>
  <Paragraphs>22</Paragraphs>
  <TotalTime>977</TotalTime>
  <ScaleCrop>false</ScaleCrop>
  <LinksUpToDate>false</LinksUpToDate>
  <CharactersWithSpaces>11259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2020-07-05T11:41:00Z</dcterms:created>
  <dc:creator>lscs-j3kf22</dc:creator>
  <cp:lastModifiedBy>董浩</cp:lastModifiedBy>
  <cp:lastPrinted>2021-04-07T09:12:00Z</cp:lastPrinted>
  <dcterms:modified xsi:type="dcterms:W3CDTF">2021-04-13T04:07:25Z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